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77A57" w14:textId="4483607C" w:rsidR="00CC54FD" w:rsidRDefault="00CD2AC4">
      <w:pPr>
        <w:spacing w:after="0" w:line="259" w:lineRule="auto"/>
        <w:ind w:left="5054" w:right="0" w:firstLine="0"/>
      </w:pPr>
      <w:r>
        <w:rPr>
          <w:noProof/>
        </w:rPr>
        <w:drawing>
          <wp:inline distT="0" distB="0" distL="0" distR="0" wp14:anchorId="7F193EFF" wp14:editId="54990812">
            <wp:extent cx="2672080" cy="1043920"/>
            <wp:effectExtent l="0" t="0" r="0" b="0"/>
            <wp:docPr id="1922712357" name="Picture 1" descr="Colorful letters and arrows point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712357" name="Picture 1" descr="Colorful letters and arrows pointing u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9593" cy="1050762"/>
                    </a:xfrm>
                    <a:prstGeom prst="rect">
                      <a:avLst/>
                    </a:prstGeom>
                  </pic:spPr>
                </pic:pic>
              </a:graphicData>
            </a:graphic>
          </wp:inline>
        </w:drawing>
      </w:r>
    </w:p>
    <w:p w14:paraId="7D8D37B0" w14:textId="77777777" w:rsidR="00CC54FD" w:rsidRDefault="00752B4C">
      <w:pPr>
        <w:spacing w:after="79" w:line="259" w:lineRule="auto"/>
        <w:ind w:left="5054" w:right="0" w:firstLine="0"/>
        <w:jc w:val="right"/>
      </w:pPr>
      <w:r>
        <w:rPr>
          <w:b/>
          <w:sz w:val="28"/>
        </w:rPr>
        <w:t xml:space="preserve"> </w:t>
      </w:r>
    </w:p>
    <w:p w14:paraId="2D9E6435" w14:textId="77777777" w:rsidR="00CC54FD" w:rsidRDefault="00752B4C">
      <w:pPr>
        <w:spacing w:after="338" w:line="259" w:lineRule="auto"/>
        <w:ind w:left="0" w:right="236" w:firstLine="0"/>
        <w:jc w:val="center"/>
      </w:pPr>
      <w:r>
        <w:rPr>
          <w:b/>
          <w:sz w:val="28"/>
        </w:rPr>
        <w:t xml:space="preserve"> </w:t>
      </w:r>
    </w:p>
    <w:p w14:paraId="3077161A" w14:textId="4A35E5CE" w:rsidR="00CC54FD" w:rsidRPr="00DF6E30" w:rsidRDefault="00752B4C" w:rsidP="00EE2E46">
      <w:pPr>
        <w:spacing w:after="99" w:line="247" w:lineRule="auto"/>
        <w:ind w:left="2612" w:right="0" w:hanging="1978"/>
        <w:rPr>
          <w:rFonts w:ascii="Arial" w:hAnsi="Arial" w:cs="Arial"/>
        </w:rPr>
      </w:pPr>
      <w:r w:rsidRPr="00610C28">
        <w:rPr>
          <w:rFonts w:ascii="Arial" w:eastAsia="Arial" w:hAnsi="Arial" w:cs="Arial"/>
          <w:b/>
          <w:sz w:val="48"/>
        </w:rPr>
        <w:t>Subcontracti</w:t>
      </w:r>
      <w:r w:rsidR="00610C28" w:rsidRPr="00610C28">
        <w:rPr>
          <w:rFonts w:ascii="Arial" w:eastAsia="Arial" w:hAnsi="Arial" w:cs="Arial"/>
          <w:b/>
          <w:sz w:val="48"/>
        </w:rPr>
        <w:t xml:space="preserve">ng </w:t>
      </w:r>
      <w:r w:rsidR="00B6337B">
        <w:rPr>
          <w:rFonts w:ascii="Arial" w:eastAsia="Arial" w:hAnsi="Arial" w:cs="Arial"/>
          <w:b/>
          <w:sz w:val="48"/>
        </w:rPr>
        <w:t xml:space="preserve">Management </w:t>
      </w:r>
      <w:r w:rsidR="00610C28" w:rsidRPr="00610C28">
        <w:rPr>
          <w:rFonts w:ascii="Arial" w:eastAsia="Arial" w:hAnsi="Arial" w:cs="Arial"/>
          <w:b/>
          <w:sz w:val="48"/>
        </w:rPr>
        <w:t xml:space="preserve">Policy </w:t>
      </w:r>
      <w:r w:rsidRPr="00DF6E30">
        <w:rPr>
          <w:rFonts w:ascii="Arial" w:eastAsia="Arial" w:hAnsi="Arial" w:cs="Arial"/>
          <w:b/>
          <w:sz w:val="48"/>
        </w:rPr>
        <w:t>20</w:t>
      </w:r>
      <w:r w:rsidR="005E6452">
        <w:rPr>
          <w:rFonts w:ascii="Arial" w:eastAsia="Arial" w:hAnsi="Arial" w:cs="Arial"/>
          <w:b/>
          <w:sz w:val="48"/>
        </w:rPr>
        <w:t>24</w:t>
      </w:r>
      <w:r w:rsidR="00EE2E46" w:rsidRPr="00DF6E30">
        <w:rPr>
          <w:rFonts w:ascii="Arial" w:eastAsia="Arial" w:hAnsi="Arial" w:cs="Arial"/>
          <w:b/>
          <w:sz w:val="48"/>
        </w:rPr>
        <w:t>-2</w:t>
      </w:r>
      <w:r w:rsidR="005E6452">
        <w:rPr>
          <w:rFonts w:ascii="Arial" w:eastAsia="Arial" w:hAnsi="Arial" w:cs="Arial"/>
          <w:b/>
          <w:sz w:val="48"/>
        </w:rPr>
        <w:t>5</w:t>
      </w:r>
    </w:p>
    <w:p w14:paraId="6397BCE8" w14:textId="1740A21F" w:rsidR="00752B4C" w:rsidRPr="00610C28" w:rsidRDefault="00EE2E46" w:rsidP="00EE2E46">
      <w:pPr>
        <w:spacing w:after="104" w:line="259" w:lineRule="auto"/>
        <w:ind w:left="10" w:right="300" w:firstLine="0"/>
        <w:rPr>
          <w:rFonts w:ascii="Arial" w:hAnsi="Arial" w:cs="Arial"/>
        </w:rPr>
      </w:pPr>
      <w:r w:rsidRPr="00DF6E30">
        <w:rPr>
          <w:rFonts w:ascii="Arial" w:eastAsia="Arial" w:hAnsi="Arial" w:cs="Arial"/>
          <w:b/>
          <w:sz w:val="40"/>
        </w:rPr>
        <w:t xml:space="preserve">      </w:t>
      </w:r>
      <w:r w:rsidRPr="00DF6E30">
        <w:rPr>
          <w:rFonts w:ascii="Arial" w:eastAsia="Arial" w:hAnsi="Arial" w:cs="Arial"/>
          <w:b/>
          <w:sz w:val="40"/>
        </w:rPr>
        <w:tab/>
      </w:r>
      <w:r w:rsidR="00610C28" w:rsidRPr="00DF6E30">
        <w:rPr>
          <w:rFonts w:ascii="Arial" w:eastAsia="Arial" w:hAnsi="Arial" w:cs="Arial"/>
          <w:b/>
          <w:sz w:val="40"/>
        </w:rPr>
        <w:t xml:space="preserve">Current Year: </w:t>
      </w:r>
      <w:r w:rsidRPr="00DF6E30">
        <w:rPr>
          <w:rFonts w:ascii="Arial" w:eastAsia="Arial" w:hAnsi="Arial" w:cs="Arial"/>
          <w:b/>
          <w:sz w:val="40"/>
        </w:rPr>
        <w:t xml:space="preserve">August </w:t>
      </w:r>
      <w:r w:rsidR="00610C28" w:rsidRPr="00DF6E30">
        <w:rPr>
          <w:rFonts w:ascii="Arial" w:eastAsia="Arial" w:hAnsi="Arial" w:cs="Arial"/>
          <w:b/>
          <w:sz w:val="40"/>
        </w:rPr>
        <w:t>20</w:t>
      </w:r>
      <w:r w:rsidR="009B1E3C" w:rsidRPr="00DF6E30">
        <w:rPr>
          <w:rFonts w:ascii="Arial" w:eastAsia="Arial" w:hAnsi="Arial" w:cs="Arial"/>
          <w:b/>
          <w:sz w:val="40"/>
        </w:rPr>
        <w:t>2</w:t>
      </w:r>
      <w:r w:rsidR="005E6452">
        <w:rPr>
          <w:rFonts w:ascii="Arial" w:eastAsia="Arial" w:hAnsi="Arial" w:cs="Arial"/>
          <w:b/>
          <w:sz w:val="40"/>
        </w:rPr>
        <w:t>4</w:t>
      </w:r>
      <w:r w:rsidR="00985146">
        <w:rPr>
          <w:rFonts w:ascii="Arial" w:eastAsia="Arial" w:hAnsi="Arial" w:cs="Arial"/>
          <w:b/>
          <w:sz w:val="40"/>
        </w:rPr>
        <w:t xml:space="preserve"> </w:t>
      </w:r>
      <w:r w:rsidRPr="00DF6E30">
        <w:rPr>
          <w:rFonts w:ascii="Arial" w:eastAsia="Arial" w:hAnsi="Arial" w:cs="Arial"/>
          <w:b/>
          <w:sz w:val="40"/>
        </w:rPr>
        <w:t>-</w:t>
      </w:r>
      <w:r w:rsidR="00985146">
        <w:rPr>
          <w:rFonts w:ascii="Arial" w:eastAsia="Arial" w:hAnsi="Arial" w:cs="Arial"/>
          <w:b/>
          <w:sz w:val="40"/>
        </w:rPr>
        <w:t xml:space="preserve"> </w:t>
      </w:r>
      <w:r w:rsidRPr="00DF6E30">
        <w:rPr>
          <w:rFonts w:ascii="Arial" w:eastAsia="Arial" w:hAnsi="Arial" w:cs="Arial"/>
          <w:b/>
          <w:sz w:val="40"/>
        </w:rPr>
        <w:t>July 202</w:t>
      </w:r>
      <w:r w:rsidR="005E6452">
        <w:rPr>
          <w:rFonts w:ascii="Arial" w:eastAsia="Arial" w:hAnsi="Arial" w:cs="Arial"/>
          <w:b/>
          <w:sz w:val="40"/>
        </w:rPr>
        <w:t>5</w:t>
      </w:r>
    </w:p>
    <w:p w14:paraId="4F370BD6" w14:textId="5ADFB40F" w:rsidR="00CC54FD" w:rsidRPr="00610C28" w:rsidRDefault="00EE2FAD" w:rsidP="00EE2E46">
      <w:pPr>
        <w:spacing w:after="0" w:line="338" w:lineRule="auto"/>
        <w:ind w:left="3560" w:right="810" w:hanging="1333"/>
        <w:rPr>
          <w:rFonts w:ascii="Arial" w:hAnsi="Arial" w:cs="Arial"/>
        </w:rPr>
      </w:pPr>
      <w:r>
        <w:rPr>
          <w:rFonts w:ascii="Arial" w:eastAsia="Arial" w:hAnsi="Arial" w:cs="Arial"/>
          <w:b/>
          <w:sz w:val="40"/>
        </w:rPr>
        <w:t>Version: 1</w:t>
      </w:r>
      <w:r w:rsidR="009B5D2D">
        <w:rPr>
          <w:rFonts w:ascii="Arial" w:eastAsia="Arial" w:hAnsi="Arial" w:cs="Arial"/>
          <w:b/>
          <w:sz w:val="40"/>
        </w:rPr>
        <w:t>.</w:t>
      </w:r>
      <w:r w:rsidR="005E6452">
        <w:rPr>
          <w:rFonts w:ascii="Arial" w:eastAsia="Arial" w:hAnsi="Arial" w:cs="Arial"/>
          <w:b/>
          <w:sz w:val="40"/>
        </w:rPr>
        <w:t>1</w:t>
      </w:r>
    </w:p>
    <w:p w14:paraId="0DCDFEBE" w14:textId="1A66AE84" w:rsidR="00CC54FD" w:rsidRPr="00610C28" w:rsidRDefault="00610C28" w:rsidP="00EE2E46">
      <w:pPr>
        <w:spacing w:after="148" w:line="259" w:lineRule="auto"/>
        <w:ind w:left="1450" w:right="297" w:firstLine="710"/>
        <w:rPr>
          <w:rFonts w:ascii="Arial" w:hAnsi="Arial" w:cs="Arial"/>
        </w:rPr>
      </w:pPr>
      <w:r w:rsidRPr="006F5596">
        <w:rPr>
          <w:rFonts w:ascii="Arial" w:eastAsia="Arial" w:hAnsi="Arial" w:cs="Arial"/>
          <w:b/>
          <w:sz w:val="40"/>
        </w:rPr>
        <w:t xml:space="preserve">Date: </w:t>
      </w:r>
      <w:r w:rsidR="005E6452">
        <w:rPr>
          <w:rFonts w:ascii="Arial" w:eastAsia="Arial" w:hAnsi="Arial" w:cs="Arial"/>
          <w:b/>
          <w:sz w:val="40"/>
        </w:rPr>
        <w:t>November 2024</w:t>
      </w:r>
    </w:p>
    <w:p w14:paraId="32B26503" w14:textId="77777777" w:rsidR="00CC54FD" w:rsidRPr="00610C28" w:rsidRDefault="00752B4C">
      <w:pPr>
        <w:spacing w:after="0" w:line="259" w:lineRule="auto"/>
        <w:ind w:left="0" w:right="77" w:firstLine="0"/>
        <w:jc w:val="center"/>
        <w:rPr>
          <w:rFonts w:ascii="Arial" w:hAnsi="Arial" w:cs="Arial"/>
        </w:rPr>
      </w:pPr>
      <w:r w:rsidRPr="00610C28">
        <w:rPr>
          <w:rFonts w:ascii="Arial" w:eastAsia="Arial" w:hAnsi="Arial" w:cs="Arial"/>
          <w:sz w:val="40"/>
        </w:rPr>
        <w:t xml:space="preserve">  </w:t>
      </w:r>
    </w:p>
    <w:tbl>
      <w:tblPr>
        <w:tblStyle w:val="TableGrid"/>
        <w:tblW w:w="9324" w:type="dxa"/>
        <w:tblInd w:w="-135" w:type="dxa"/>
        <w:tblCellMar>
          <w:top w:w="11" w:type="dxa"/>
          <w:left w:w="108" w:type="dxa"/>
          <w:right w:w="81" w:type="dxa"/>
        </w:tblCellMar>
        <w:tblLook w:val="04A0" w:firstRow="1" w:lastRow="0" w:firstColumn="1" w:lastColumn="0" w:noHBand="0" w:noVBand="1"/>
      </w:tblPr>
      <w:tblGrid>
        <w:gridCol w:w="4099"/>
        <w:gridCol w:w="5225"/>
      </w:tblGrid>
      <w:tr w:rsidR="00CC54FD" w:rsidRPr="00610C28" w14:paraId="4AF5139A" w14:textId="77777777" w:rsidTr="00CC6550">
        <w:trPr>
          <w:trHeight w:val="283"/>
        </w:trPr>
        <w:tc>
          <w:tcPr>
            <w:tcW w:w="4099" w:type="dxa"/>
            <w:tcBorders>
              <w:top w:val="single" w:sz="4" w:space="0" w:color="BFBFBF"/>
              <w:left w:val="single" w:sz="4" w:space="0" w:color="BFBFBF"/>
              <w:bottom w:val="single" w:sz="4" w:space="0" w:color="BFBFBF"/>
              <w:right w:val="single" w:sz="4" w:space="0" w:color="BFBFBF"/>
            </w:tcBorders>
          </w:tcPr>
          <w:p w14:paraId="00DA0174" w14:textId="77777777" w:rsidR="00CC54FD" w:rsidRPr="00610C28" w:rsidRDefault="00752B4C">
            <w:pPr>
              <w:spacing w:after="0" w:line="259" w:lineRule="auto"/>
              <w:ind w:left="3" w:right="0" w:firstLine="0"/>
              <w:rPr>
                <w:rFonts w:ascii="Arial" w:hAnsi="Arial" w:cs="Arial"/>
              </w:rPr>
            </w:pPr>
            <w:r w:rsidRPr="00610C28">
              <w:rPr>
                <w:rFonts w:ascii="Arial" w:eastAsia="Arial" w:hAnsi="Arial" w:cs="Arial"/>
              </w:rPr>
              <w:t>Policy Lead</w:t>
            </w:r>
            <w:r w:rsidR="00610C28" w:rsidRPr="00610C28">
              <w:rPr>
                <w:rFonts w:ascii="Arial" w:eastAsia="Arial" w:hAnsi="Arial" w:cs="Arial"/>
              </w:rPr>
              <w:t>/ Author</w:t>
            </w:r>
            <w:r w:rsidRPr="00610C28">
              <w:rPr>
                <w:rFonts w:ascii="Arial" w:eastAsia="Arial" w:hAnsi="Arial" w:cs="Arial"/>
              </w:rPr>
              <w:t xml:space="preserve"> + Job Title: </w:t>
            </w:r>
          </w:p>
        </w:tc>
        <w:tc>
          <w:tcPr>
            <w:tcW w:w="5225" w:type="dxa"/>
            <w:tcBorders>
              <w:top w:val="single" w:sz="4" w:space="0" w:color="BFBFBF"/>
              <w:left w:val="single" w:sz="4" w:space="0" w:color="BFBFBF"/>
              <w:bottom w:val="single" w:sz="4" w:space="0" w:color="BFBFBF"/>
              <w:right w:val="single" w:sz="4" w:space="0" w:color="BFBFBF"/>
            </w:tcBorders>
          </w:tcPr>
          <w:p w14:paraId="46767F0E" w14:textId="06249C0B" w:rsidR="00CC54FD" w:rsidRPr="009B1E3C" w:rsidRDefault="00E22CE4" w:rsidP="00EE2FAD">
            <w:pPr>
              <w:spacing w:after="0" w:line="259" w:lineRule="auto"/>
              <w:ind w:left="0" w:right="0" w:firstLine="0"/>
              <w:rPr>
                <w:rFonts w:ascii="Arial" w:hAnsi="Arial" w:cs="Arial"/>
                <w:highlight w:val="yellow"/>
              </w:rPr>
            </w:pPr>
            <w:r w:rsidRPr="00CC6550">
              <w:rPr>
                <w:rFonts w:ascii="Arial" w:eastAsia="Arial" w:hAnsi="Arial" w:cs="Arial"/>
              </w:rPr>
              <w:t xml:space="preserve">Jennie Willock – </w:t>
            </w:r>
            <w:r w:rsidR="00CC6550" w:rsidRPr="00CC6550">
              <w:rPr>
                <w:rFonts w:ascii="Arial" w:eastAsia="Arial" w:hAnsi="Arial" w:cs="Arial"/>
              </w:rPr>
              <w:t>CEO</w:t>
            </w:r>
            <w:r w:rsidR="00752B4C" w:rsidRPr="00EE2FAD">
              <w:rPr>
                <w:rFonts w:ascii="Arial" w:eastAsia="Arial" w:hAnsi="Arial" w:cs="Arial"/>
              </w:rPr>
              <w:t xml:space="preserve">  </w:t>
            </w:r>
          </w:p>
        </w:tc>
      </w:tr>
      <w:tr w:rsidR="00CC54FD" w:rsidRPr="00610C28" w14:paraId="76466436" w14:textId="77777777" w:rsidTr="00CC6550">
        <w:trPr>
          <w:trHeight w:val="818"/>
        </w:trPr>
        <w:tc>
          <w:tcPr>
            <w:tcW w:w="4099" w:type="dxa"/>
            <w:tcBorders>
              <w:top w:val="single" w:sz="4" w:space="0" w:color="BFBFBF"/>
              <w:left w:val="single" w:sz="4" w:space="0" w:color="BFBFBF"/>
              <w:bottom w:val="single" w:sz="4" w:space="0" w:color="BFBFBF"/>
              <w:right w:val="single" w:sz="4" w:space="0" w:color="BFBFBF"/>
            </w:tcBorders>
          </w:tcPr>
          <w:p w14:paraId="36FDE63E" w14:textId="77777777" w:rsidR="00CC54FD" w:rsidRPr="00610C28" w:rsidRDefault="00752B4C">
            <w:pPr>
              <w:spacing w:after="0" w:line="259" w:lineRule="auto"/>
              <w:ind w:left="13" w:right="0"/>
              <w:rPr>
                <w:rFonts w:ascii="Arial" w:hAnsi="Arial" w:cs="Arial"/>
              </w:rPr>
            </w:pPr>
            <w:r w:rsidRPr="00610C28">
              <w:rPr>
                <w:rFonts w:ascii="Arial" w:eastAsia="Arial" w:hAnsi="Arial" w:cs="Arial"/>
              </w:rPr>
              <w:t xml:space="preserve">Company </w:t>
            </w:r>
            <w:proofErr w:type="gramStart"/>
            <w:r w:rsidRPr="00610C28">
              <w:rPr>
                <w:rFonts w:ascii="Arial" w:eastAsia="Arial" w:hAnsi="Arial" w:cs="Arial"/>
              </w:rPr>
              <w:t>Lead</w:t>
            </w:r>
            <w:proofErr w:type="gramEnd"/>
            <w:r w:rsidRPr="00610C28">
              <w:rPr>
                <w:rFonts w:ascii="Arial" w:eastAsia="Arial" w:hAnsi="Arial" w:cs="Arial"/>
              </w:rPr>
              <w:t xml:space="preserve"> (if different to above) </w:t>
            </w:r>
          </w:p>
        </w:tc>
        <w:tc>
          <w:tcPr>
            <w:tcW w:w="5225" w:type="dxa"/>
            <w:tcBorders>
              <w:top w:val="single" w:sz="4" w:space="0" w:color="BFBFBF"/>
              <w:left w:val="single" w:sz="4" w:space="0" w:color="BFBFBF"/>
              <w:bottom w:val="single" w:sz="4" w:space="0" w:color="BFBFBF"/>
              <w:right w:val="single" w:sz="4" w:space="0" w:color="BFBFBF"/>
            </w:tcBorders>
          </w:tcPr>
          <w:p w14:paraId="4576B68F" w14:textId="77777777" w:rsidR="00CC54FD" w:rsidRPr="00610C28" w:rsidRDefault="00752B4C">
            <w:pPr>
              <w:spacing w:after="0" w:line="259" w:lineRule="auto"/>
              <w:ind w:left="0" w:right="0" w:firstLine="0"/>
              <w:rPr>
                <w:rFonts w:ascii="Arial" w:hAnsi="Arial" w:cs="Arial"/>
              </w:rPr>
            </w:pPr>
            <w:r w:rsidRPr="00610C28">
              <w:rPr>
                <w:rFonts w:ascii="Arial" w:eastAsia="Arial" w:hAnsi="Arial" w:cs="Arial"/>
              </w:rPr>
              <w:t xml:space="preserve">N/A </w:t>
            </w:r>
          </w:p>
        </w:tc>
      </w:tr>
      <w:tr w:rsidR="00CC54FD" w:rsidRPr="00610C28" w14:paraId="74166DC0" w14:textId="77777777" w:rsidTr="00B72574">
        <w:trPr>
          <w:trHeight w:val="1026"/>
        </w:trPr>
        <w:tc>
          <w:tcPr>
            <w:tcW w:w="4099" w:type="dxa"/>
            <w:tcBorders>
              <w:top w:val="single" w:sz="4" w:space="0" w:color="BFBFBF"/>
              <w:left w:val="single" w:sz="4" w:space="0" w:color="BFBFBF"/>
              <w:bottom w:val="single" w:sz="4" w:space="0" w:color="BFBFBF"/>
              <w:right w:val="single" w:sz="4" w:space="0" w:color="BFBFBF"/>
            </w:tcBorders>
          </w:tcPr>
          <w:p w14:paraId="057F6AC6" w14:textId="77777777" w:rsidR="00CC54FD" w:rsidRPr="00610C28" w:rsidRDefault="00752B4C">
            <w:pPr>
              <w:spacing w:after="150" w:line="259" w:lineRule="auto"/>
              <w:ind w:left="3" w:right="0" w:firstLine="0"/>
              <w:rPr>
                <w:rFonts w:ascii="Arial" w:hAnsi="Arial" w:cs="Arial"/>
              </w:rPr>
            </w:pPr>
            <w:r w:rsidRPr="00610C28">
              <w:rPr>
                <w:rFonts w:ascii="Arial" w:eastAsia="Arial" w:hAnsi="Arial" w:cs="Arial"/>
              </w:rPr>
              <w:t xml:space="preserve">Priority Level: </w:t>
            </w:r>
          </w:p>
          <w:p w14:paraId="042FEADA" w14:textId="77777777" w:rsidR="00CC54FD" w:rsidRPr="00610C28" w:rsidRDefault="00752B4C">
            <w:pPr>
              <w:spacing w:after="0" w:line="259" w:lineRule="auto"/>
              <w:ind w:left="13" w:right="0"/>
              <w:rPr>
                <w:rFonts w:ascii="Arial" w:hAnsi="Arial" w:cs="Arial"/>
              </w:rPr>
            </w:pPr>
            <w:r w:rsidRPr="00610C28">
              <w:rPr>
                <w:rFonts w:ascii="Arial" w:eastAsia="Arial" w:hAnsi="Arial" w:cs="Arial"/>
                <w:color w:val="FF0000"/>
              </w:rPr>
              <w:t>Red</w:t>
            </w:r>
            <w:r w:rsidRPr="00610C28">
              <w:rPr>
                <w:rFonts w:ascii="Arial" w:eastAsia="Arial" w:hAnsi="Arial" w:cs="Arial"/>
              </w:rPr>
              <w:t xml:space="preserve"> - within 1 year;</w:t>
            </w:r>
            <w:r w:rsidRPr="00610C28">
              <w:rPr>
                <w:rFonts w:ascii="Arial" w:eastAsia="Arial" w:hAnsi="Arial" w:cs="Arial"/>
                <w:color w:val="538135"/>
              </w:rPr>
              <w:t xml:space="preserve"> </w:t>
            </w:r>
            <w:r w:rsidRPr="00610C28">
              <w:rPr>
                <w:rFonts w:ascii="Arial" w:eastAsia="Arial" w:hAnsi="Arial" w:cs="Arial"/>
                <w:color w:val="ED7D31"/>
              </w:rPr>
              <w:t xml:space="preserve">Amber </w:t>
            </w:r>
            <w:r w:rsidRPr="00610C28">
              <w:rPr>
                <w:rFonts w:ascii="Arial" w:eastAsia="Arial" w:hAnsi="Arial" w:cs="Arial"/>
              </w:rPr>
              <w:t xml:space="preserve">– within 2 years; </w:t>
            </w:r>
            <w:r w:rsidRPr="00610C28">
              <w:rPr>
                <w:rFonts w:ascii="Arial" w:eastAsia="Arial" w:hAnsi="Arial" w:cs="Arial"/>
                <w:color w:val="00B050"/>
              </w:rPr>
              <w:t>green</w:t>
            </w:r>
            <w:r w:rsidRPr="00610C28">
              <w:rPr>
                <w:rFonts w:ascii="Arial" w:eastAsia="Arial" w:hAnsi="Arial" w:cs="Arial"/>
              </w:rPr>
              <w:t xml:space="preserve"> - within 3 years </w:t>
            </w:r>
          </w:p>
        </w:tc>
        <w:tc>
          <w:tcPr>
            <w:tcW w:w="5225" w:type="dxa"/>
            <w:tcBorders>
              <w:top w:val="single" w:sz="4" w:space="0" w:color="BFBFBF"/>
              <w:left w:val="single" w:sz="4" w:space="0" w:color="BFBFBF"/>
              <w:bottom w:val="single" w:sz="4" w:space="0" w:color="BFBFBF"/>
              <w:right w:val="single" w:sz="4" w:space="0" w:color="BFBFBF"/>
            </w:tcBorders>
          </w:tcPr>
          <w:p w14:paraId="3D515429" w14:textId="77777777" w:rsidR="00CC54FD" w:rsidRPr="00610C28" w:rsidRDefault="00752B4C">
            <w:pPr>
              <w:spacing w:after="0" w:line="259" w:lineRule="auto"/>
              <w:ind w:left="0" w:right="0" w:firstLine="0"/>
              <w:rPr>
                <w:rFonts w:ascii="Arial" w:hAnsi="Arial" w:cs="Arial"/>
              </w:rPr>
            </w:pPr>
            <w:r w:rsidRPr="00610C28">
              <w:rPr>
                <w:rFonts w:ascii="Arial" w:eastAsia="Arial" w:hAnsi="Arial" w:cs="Arial"/>
                <w:color w:val="FF0000"/>
              </w:rPr>
              <w:t>Red</w:t>
            </w:r>
            <w:r w:rsidRPr="00610C28">
              <w:rPr>
                <w:rFonts w:ascii="Arial" w:eastAsia="Arial" w:hAnsi="Arial" w:cs="Arial"/>
              </w:rPr>
              <w:t xml:space="preserve"> </w:t>
            </w:r>
          </w:p>
        </w:tc>
      </w:tr>
      <w:tr w:rsidR="00CC54FD" w:rsidRPr="00610C28" w14:paraId="2642B03E" w14:textId="77777777" w:rsidTr="00CC6550">
        <w:trPr>
          <w:trHeight w:val="473"/>
        </w:trPr>
        <w:tc>
          <w:tcPr>
            <w:tcW w:w="4099" w:type="dxa"/>
            <w:tcBorders>
              <w:top w:val="single" w:sz="4" w:space="0" w:color="BFBFBF"/>
              <w:left w:val="single" w:sz="4" w:space="0" w:color="BFBFBF"/>
              <w:bottom w:val="single" w:sz="4" w:space="0" w:color="BFBFBF"/>
              <w:right w:val="single" w:sz="4" w:space="0" w:color="BFBFBF"/>
            </w:tcBorders>
          </w:tcPr>
          <w:p w14:paraId="1B7D5C2F" w14:textId="77777777" w:rsidR="00CC54FD" w:rsidRPr="00610C28" w:rsidRDefault="00752B4C">
            <w:pPr>
              <w:spacing w:after="0" w:line="259" w:lineRule="auto"/>
              <w:ind w:left="3" w:right="0" w:firstLine="0"/>
              <w:rPr>
                <w:rFonts w:ascii="Arial" w:hAnsi="Arial" w:cs="Arial"/>
              </w:rPr>
            </w:pPr>
            <w:r w:rsidRPr="00610C28">
              <w:rPr>
                <w:rFonts w:ascii="Arial" w:eastAsia="Arial" w:hAnsi="Arial" w:cs="Arial"/>
              </w:rPr>
              <w:t xml:space="preserve">Review Date: </w:t>
            </w:r>
          </w:p>
        </w:tc>
        <w:tc>
          <w:tcPr>
            <w:tcW w:w="5225" w:type="dxa"/>
            <w:tcBorders>
              <w:top w:val="single" w:sz="4" w:space="0" w:color="BFBFBF"/>
              <w:left w:val="single" w:sz="4" w:space="0" w:color="BFBFBF"/>
              <w:bottom w:val="single" w:sz="4" w:space="0" w:color="BFBFBF"/>
              <w:right w:val="single" w:sz="4" w:space="0" w:color="BFBFBF"/>
            </w:tcBorders>
          </w:tcPr>
          <w:p w14:paraId="33462D40" w14:textId="70644485" w:rsidR="00CC54FD" w:rsidRPr="00610C28" w:rsidRDefault="005E6452">
            <w:pPr>
              <w:spacing w:after="0" w:line="259" w:lineRule="auto"/>
              <w:ind w:left="0" w:right="0" w:firstLine="0"/>
              <w:rPr>
                <w:rFonts w:ascii="Arial" w:hAnsi="Arial" w:cs="Arial"/>
              </w:rPr>
            </w:pPr>
            <w:r>
              <w:rPr>
                <w:rFonts w:ascii="Arial" w:eastAsia="Arial" w:hAnsi="Arial" w:cs="Arial"/>
                <w:b/>
              </w:rPr>
              <w:t>November</w:t>
            </w:r>
            <w:r w:rsidR="00985146">
              <w:rPr>
                <w:rFonts w:ascii="Arial" w:eastAsia="Arial" w:hAnsi="Arial" w:cs="Arial"/>
                <w:b/>
              </w:rPr>
              <w:t xml:space="preserve"> 202</w:t>
            </w:r>
            <w:r w:rsidR="00A22E85">
              <w:rPr>
                <w:rFonts w:ascii="Arial" w:eastAsia="Arial" w:hAnsi="Arial" w:cs="Arial"/>
                <w:b/>
              </w:rPr>
              <w:t>4</w:t>
            </w:r>
          </w:p>
        </w:tc>
      </w:tr>
      <w:tr w:rsidR="00CC54FD" w:rsidRPr="00610C28" w14:paraId="767A1018" w14:textId="77777777" w:rsidTr="00B72574">
        <w:trPr>
          <w:trHeight w:val="358"/>
        </w:trPr>
        <w:tc>
          <w:tcPr>
            <w:tcW w:w="4099" w:type="dxa"/>
            <w:tcBorders>
              <w:top w:val="single" w:sz="4" w:space="0" w:color="BFBFBF"/>
              <w:left w:val="single" w:sz="4" w:space="0" w:color="BFBFBF"/>
              <w:bottom w:val="single" w:sz="4" w:space="0" w:color="BFBFBF"/>
              <w:right w:val="single" w:sz="4" w:space="0" w:color="BFBFBF"/>
            </w:tcBorders>
          </w:tcPr>
          <w:p w14:paraId="676FF2A5" w14:textId="77777777" w:rsidR="00CC54FD" w:rsidRPr="00610C28" w:rsidRDefault="00752B4C">
            <w:pPr>
              <w:spacing w:after="0" w:line="259" w:lineRule="auto"/>
              <w:ind w:left="3" w:right="0" w:firstLine="0"/>
              <w:rPr>
                <w:rFonts w:ascii="Arial" w:hAnsi="Arial" w:cs="Arial"/>
              </w:rPr>
            </w:pPr>
            <w:r w:rsidRPr="00610C28">
              <w:rPr>
                <w:rFonts w:ascii="Arial" w:eastAsia="Arial" w:hAnsi="Arial" w:cs="Arial"/>
              </w:rPr>
              <w:t xml:space="preserve">Whom applicable to:  </w:t>
            </w:r>
          </w:p>
        </w:tc>
        <w:tc>
          <w:tcPr>
            <w:tcW w:w="5225" w:type="dxa"/>
            <w:tcBorders>
              <w:top w:val="single" w:sz="4" w:space="0" w:color="BFBFBF"/>
              <w:left w:val="single" w:sz="4" w:space="0" w:color="BFBFBF"/>
              <w:bottom w:val="single" w:sz="4" w:space="0" w:color="BFBFBF"/>
              <w:right w:val="single" w:sz="4" w:space="0" w:color="BFBFBF"/>
            </w:tcBorders>
          </w:tcPr>
          <w:p w14:paraId="4CBC7FA7" w14:textId="77777777" w:rsidR="00CC54FD" w:rsidRPr="00610C28" w:rsidRDefault="00752B4C">
            <w:pPr>
              <w:spacing w:after="0" w:line="259" w:lineRule="auto"/>
              <w:ind w:left="0" w:right="0" w:firstLine="0"/>
              <w:rPr>
                <w:rFonts w:ascii="Arial" w:hAnsi="Arial" w:cs="Arial"/>
              </w:rPr>
            </w:pPr>
            <w:r w:rsidRPr="00610C28">
              <w:rPr>
                <w:rFonts w:ascii="Arial" w:eastAsia="Arial" w:hAnsi="Arial" w:cs="Arial"/>
              </w:rPr>
              <w:t xml:space="preserve">Subcontractors  </w:t>
            </w:r>
          </w:p>
        </w:tc>
      </w:tr>
    </w:tbl>
    <w:p w14:paraId="43C84E2C" w14:textId="77777777" w:rsidR="00610C28" w:rsidRDefault="00752B4C" w:rsidP="00610C28">
      <w:pPr>
        <w:spacing w:after="158" w:line="259" w:lineRule="auto"/>
        <w:ind w:left="14" w:right="0" w:firstLine="0"/>
        <w:rPr>
          <w:rFonts w:ascii="Arial" w:eastAsia="Arial" w:hAnsi="Arial" w:cs="Arial"/>
        </w:rPr>
      </w:pPr>
      <w:r w:rsidRPr="00610C28">
        <w:rPr>
          <w:rFonts w:ascii="Arial" w:eastAsia="Arial" w:hAnsi="Arial" w:cs="Arial"/>
        </w:rPr>
        <w:t xml:space="preserve"> </w:t>
      </w:r>
    </w:p>
    <w:p w14:paraId="766BC5B9" w14:textId="77777777" w:rsidR="00CC54FD" w:rsidRPr="00412D14" w:rsidRDefault="00752B4C" w:rsidP="00610C28">
      <w:pPr>
        <w:spacing w:after="158" w:line="259" w:lineRule="auto"/>
        <w:ind w:left="14" w:right="0" w:firstLine="0"/>
        <w:rPr>
          <w:rFonts w:ascii="Arial" w:hAnsi="Arial" w:cs="Arial"/>
          <w:b/>
        </w:rPr>
      </w:pPr>
      <w:r w:rsidRPr="00A64602">
        <w:rPr>
          <w:rFonts w:ascii="Arial" w:eastAsia="Arial" w:hAnsi="Arial" w:cs="Arial"/>
          <w:b/>
        </w:rPr>
        <w:t>Approval of policy (including revisions if required)</w:t>
      </w:r>
      <w:r w:rsidRPr="00412D14">
        <w:rPr>
          <w:rFonts w:ascii="Arial" w:eastAsia="Arial" w:hAnsi="Arial" w:cs="Arial"/>
          <w:b/>
        </w:rPr>
        <w:t xml:space="preserve"> </w:t>
      </w:r>
    </w:p>
    <w:tbl>
      <w:tblPr>
        <w:tblStyle w:val="TableGrid"/>
        <w:tblW w:w="9362" w:type="dxa"/>
        <w:tblInd w:w="-166" w:type="dxa"/>
        <w:tblCellMar>
          <w:top w:w="12" w:type="dxa"/>
          <w:left w:w="106" w:type="dxa"/>
          <w:right w:w="98" w:type="dxa"/>
        </w:tblCellMar>
        <w:tblLook w:val="04A0" w:firstRow="1" w:lastRow="0" w:firstColumn="1" w:lastColumn="0" w:noHBand="0" w:noVBand="1"/>
      </w:tblPr>
      <w:tblGrid>
        <w:gridCol w:w="2195"/>
        <w:gridCol w:w="2271"/>
        <w:gridCol w:w="2196"/>
        <w:gridCol w:w="1351"/>
        <w:gridCol w:w="1349"/>
      </w:tblGrid>
      <w:tr w:rsidR="00CC54FD" w:rsidRPr="00412D14" w14:paraId="5A50A643" w14:textId="77777777" w:rsidTr="00412D14">
        <w:trPr>
          <w:trHeight w:val="641"/>
        </w:trPr>
        <w:tc>
          <w:tcPr>
            <w:tcW w:w="2195" w:type="dxa"/>
            <w:tcBorders>
              <w:top w:val="single" w:sz="4" w:space="0" w:color="000000"/>
              <w:left w:val="single" w:sz="4" w:space="0" w:color="000000"/>
              <w:bottom w:val="single" w:sz="4" w:space="0" w:color="000000"/>
              <w:right w:val="single" w:sz="4" w:space="0" w:color="000000"/>
            </w:tcBorders>
          </w:tcPr>
          <w:p w14:paraId="1F8D3EF3" w14:textId="77777777" w:rsidR="00CC54FD" w:rsidRPr="00412D14" w:rsidRDefault="00752B4C">
            <w:pPr>
              <w:spacing w:after="0" w:line="259" w:lineRule="auto"/>
              <w:ind w:left="2" w:right="0" w:firstLine="0"/>
              <w:rPr>
                <w:rFonts w:ascii="Arial" w:hAnsi="Arial" w:cs="Arial"/>
              </w:rPr>
            </w:pPr>
            <w:r w:rsidRPr="00412D14">
              <w:rPr>
                <w:rFonts w:ascii="Arial" w:eastAsia="Arial" w:hAnsi="Arial" w:cs="Arial"/>
              </w:rPr>
              <w:t xml:space="preserve">Name </w:t>
            </w:r>
          </w:p>
        </w:tc>
        <w:tc>
          <w:tcPr>
            <w:tcW w:w="2271" w:type="dxa"/>
            <w:tcBorders>
              <w:top w:val="single" w:sz="4" w:space="0" w:color="000000"/>
              <w:left w:val="single" w:sz="4" w:space="0" w:color="000000"/>
              <w:bottom w:val="single" w:sz="4" w:space="0" w:color="000000"/>
              <w:right w:val="single" w:sz="4" w:space="0" w:color="000000"/>
            </w:tcBorders>
          </w:tcPr>
          <w:p w14:paraId="08B4A3C2" w14:textId="77777777" w:rsidR="00CC54FD" w:rsidRPr="00412D14" w:rsidRDefault="00752B4C">
            <w:pPr>
              <w:spacing w:after="0" w:line="259" w:lineRule="auto"/>
              <w:ind w:left="2" w:right="0" w:firstLine="0"/>
              <w:rPr>
                <w:rFonts w:ascii="Arial" w:hAnsi="Arial" w:cs="Arial"/>
              </w:rPr>
            </w:pPr>
            <w:r w:rsidRPr="00412D14">
              <w:rPr>
                <w:rFonts w:ascii="Arial" w:eastAsia="Arial" w:hAnsi="Arial" w:cs="Arial"/>
              </w:rPr>
              <w:t xml:space="preserve">Position </w:t>
            </w:r>
          </w:p>
        </w:tc>
        <w:tc>
          <w:tcPr>
            <w:tcW w:w="2196" w:type="dxa"/>
            <w:tcBorders>
              <w:top w:val="single" w:sz="4" w:space="0" w:color="000000"/>
              <w:left w:val="single" w:sz="4" w:space="0" w:color="000000"/>
              <w:bottom w:val="single" w:sz="4" w:space="0" w:color="000000"/>
              <w:right w:val="single" w:sz="4" w:space="0" w:color="000000"/>
            </w:tcBorders>
          </w:tcPr>
          <w:p w14:paraId="14FAF4CA" w14:textId="77777777" w:rsidR="00CC54FD" w:rsidRPr="00412D14" w:rsidRDefault="00752B4C">
            <w:pPr>
              <w:spacing w:after="0" w:line="259" w:lineRule="auto"/>
              <w:ind w:left="2" w:right="0" w:firstLine="0"/>
              <w:rPr>
                <w:rFonts w:ascii="Arial" w:hAnsi="Arial" w:cs="Arial"/>
              </w:rPr>
            </w:pPr>
            <w:r w:rsidRPr="00412D14">
              <w:rPr>
                <w:rFonts w:ascii="Arial" w:eastAsia="Arial" w:hAnsi="Arial" w:cs="Arial"/>
              </w:rPr>
              <w:t xml:space="preserve">Signature (if required) </w:t>
            </w:r>
          </w:p>
        </w:tc>
        <w:tc>
          <w:tcPr>
            <w:tcW w:w="1351" w:type="dxa"/>
            <w:tcBorders>
              <w:top w:val="single" w:sz="4" w:space="0" w:color="000000"/>
              <w:left w:val="single" w:sz="4" w:space="0" w:color="000000"/>
              <w:bottom w:val="single" w:sz="4" w:space="0" w:color="000000"/>
              <w:right w:val="single" w:sz="4" w:space="0" w:color="000000"/>
            </w:tcBorders>
          </w:tcPr>
          <w:p w14:paraId="7A8D9C68" w14:textId="77777777" w:rsidR="00CC54FD" w:rsidRPr="00412D14" w:rsidRDefault="00752B4C">
            <w:pPr>
              <w:spacing w:after="0" w:line="259" w:lineRule="auto"/>
              <w:ind w:left="12" w:right="0"/>
              <w:rPr>
                <w:rFonts w:ascii="Arial" w:hAnsi="Arial" w:cs="Arial"/>
              </w:rPr>
            </w:pPr>
            <w:r w:rsidRPr="00412D14">
              <w:rPr>
                <w:rFonts w:ascii="Arial" w:eastAsia="Arial" w:hAnsi="Arial" w:cs="Arial"/>
              </w:rPr>
              <w:t xml:space="preserve">Policy Version No. </w:t>
            </w:r>
          </w:p>
        </w:tc>
        <w:tc>
          <w:tcPr>
            <w:tcW w:w="1349" w:type="dxa"/>
            <w:tcBorders>
              <w:top w:val="single" w:sz="4" w:space="0" w:color="000000"/>
              <w:left w:val="single" w:sz="4" w:space="0" w:color="000000"/>
              <w:bottom w:val="single" w:sz="4" w:space="0" w:color="000000"/>
              <w:right w:val="single" w:sz="4" w:space="0" w:color="000000"/>
            </w:tcBorders>
          </w:tcPr>
          <w:p w14:paraId="25B6365F" w14:textId="77777777" w:rsidR="00CC54FD" w:rsidRPr="00412D14" w:rsidRDefault="00752B4C">
            <w:pPr>
              <w:spacing w:after="0" w:line="259" w:lineRule="auto"/>
              <w:ind w:left="0" w:right="0" w:firstLine="0"/>
              <w:rPr>
                <w:rFonts w:ascii="Arial" w:hAnsi="Arial" w:cs="Arial"/>
              </w:rPr>
            </w:pPr>
            <w:r w:rsidRPr="00412D14">
              <w:rPr>
                <w:rFonts w:ascii="Arial" w:eastAsia="Arial" w:hAnsi="Arial" w:cs="Arial"/>
              </w:rPr>
              <w:t xml:space="preserve">Date </w:t>
            </w:r>
          </w:p>
        </w:tc>
      </w:tr>
      <w:tr w:rsidR="00CC54FD" w:rsidRPr="00EE2FAD" w14:paraId="17C2A800" w14:textId="77777777" w:rsidTr="00412D14">
        <w:trPr>
          <w:trHeight w:val="499"/>
        </w:trPr>
        <w:tc>
          <w:tcPr>
            <w:tcW w:w="2195" w:type="dxa"/>
            <w:tcBorders>
              <w:top w:val="single" w:sz="4" w:space="0" w:color="000000"/>
              <w:left w:val="single" w:sz="4" w:space="0" w:color="000000"/>
              <w:bottom w:val="single" w:sz="4" w:space="0" w:color="000000"/>
              <w:right w:val="single" w:sz="4" w:space="0" w:color="000000"/>
            </w:tcBorders>
          </w:tcPr>
          <w:p w14:paraId="63074AAE" w14:textId="0F63FCE0" w:rsidR="00CC54FD" w:rsidRPr="00412D14" w:rsidRDefault="009B5D2D">
            <w:pPr>
              <w:spacing w:after="0" w:line="259" w:lineRule="auto"/>
              <w:ind w:left="2" w:right="0" w:firstLine="0"/>
              <w:rPr>
                <w:rFonts w:ascii="Arial" w:hAnsi="Arial" w:cs="Arial"/>
              </w:rPr>
            </w:pPr>
            <w:r>
              <w:rPr>
                <w:rFonts w:ascii="Arial" w:eastAsia="Arial" w:hAnsi="Arial" w:cs="Arial"/>
              </w:rPr>
              <w:t>Jennie Willock</w:t>
            </w:r>
          </w:p>
        </w:tc>
        <w:tc>
          <w:tcPr>
            <w:tcW w:w="2271" w:type="dxa"/>
            <w:tcBorders>
              <w:top w:val="single" w:sz="4" w:space="0" w:color="000000"/>
              <w:left w:val="single" w:sz="4" w:space="0" w:color="000000"/>
              <w:bottom w:val="single" w:sz="4" w:space="0" w:color="000000"/>
              <w:right w:val="single" w:sz="4" w:space="0" w:color="000000"/>
            </w:tcBorders>
          </w:tcPr>
          <w:p w14:paraId="29C8D618" w14:textId="1D392885" w:rsidR="00CC54FD" w:rsidRPr="00412D14" w:rsidRDefault="009B5D2D">
            <w:pPr>
              <w:spacing w:after="0" w:line="259" w:lineRule="auto"/>
              <w:ind w:left="2" w:right="0" w:firstLine="0"/>
              <w:rPr>
                <w:rFonts w:ascii="Arial" w:hAnsi="Arial" w:cs="Arial"/>
              </w:rPr>
            </w:pPr>
            <w:r>
              <w:rPr>
                <w:rFonts w:ascii="Arial" w:eastAsia="Arial" w:hAnsi="Arial" w:cs="Arial"/>
              </w:rPr>
              <w:t>Chief Execu</w:t>
            </w:r>
            <w:r w:rsidR="00954415">
              <w:rPr>
                <w:rFonts w:ascii="Arial" w:eastAsia="Arial" w:hAnsi="Arial" w:cs="Arial"/>
              </w:rPr>
              <w:t>tive</w:t>
            </w:r>
          </w:p>
        </w:tc>
        <w:tc>
          <w:tcPr>
            <w:tcW w:w="2196" w:type="dxa"/>
            <w:tcBorders>
              <w:top w:val="single" w:sz="4" w:space="0" w:color="000000"/>
              <w:left w:val="single" w:sz="4" w:space="0" w:color="000000"/>
              <w:bottom w:val="single" w:sz="4" w:space="0" w:color="000000"/>
              <w:right w:val="single" w:sz="4" w:space="0" w:color="000000"/>
            </w:tcBorders>
          </w:tcPr>
          <w:p w14:paraId="18CA2B3E" w14:textId="77777777" w:rsidR="00CC54FD" w:rsidRPr="00412D14" w:rsidRDefault="00752B4C">
            <w:pPr>
              <w:spacing w:after="0" w:line="259" w:lineRule="auto"/>
              <w:ind w:left="2" w:right="0" w:firstLine="0"/>
              <w:rPr>
                <w:rFonts w:ascii="Arial" w:hAnsi="Arial" w:cs="Arial"/>
              </w:rPr>
            </w:pPr>
            <w:r w:rsidRPr="00412D14">
              <w:rPr>
                <w:rFonts w:ascii="Arial" w:eastAsia="Arial" w:hAnsi="Arial" w:cs="Arial"/>
              </w:rPr>
              <w:t xml:space="preserve">N/A </w:t>
            </w:r>
          </w:p>
        </w:tc>
        <w:tc>
          <w:tcPr>
            <w:tcW w:w="1351" w:type="dxa"/>
            <w:tcBorders>
              <w:top w:val="single" w:sz="4" w:space="0" w:color="000000"/>
              <w:left w:val="single" w:sz="4" w:space="0" w:color="000000"/>
              <w:bottom w:val="single" w:sz="4" w:space="0" w:color="000000"/>
              <w:right w:val="single" w:sz="4" w:space="0" w:color="000000"/>
            </w:tcBorders>
          </w:tcPr>
          <w:p w14:paraId="1EE998CE" w14:textId="644F4B48" w:rsidR="00CC54FD" w:rsidRPr="00412D14" w:rsidRDefault="00954415">
            <w:pPr>
              <w:spacing w:after="0" w:line="259" w:lineRule="auto"/>
              <w:ind w:left="2" w:right="0" w:firstLine="0"/>
              <w:rPr>
                <w:rFonts w:ascii="Arial" w:hAnsi="Arial" w:cs="Arial"/>
              </w:rPr>
            </w:pPr>
            <w:r>
              <w:rPr>
                <w:rFonts w:ascii="Arial" w:eastAsia="Arial" w:hAnsi="Arial" w:cs="Arial"/>
              </w:rPr>
              <w:t>V1.0</w:t>
            </w:r>
          </w:p>
        </w:tc>
        <w:tc>
          <w:tcPr>
            <w:tcW w:w="1349" w:type="dxa"/>
            <w:tcBorders>
              <w:top w:val="single" w:sz="4" w:space="0" w:color="000000"/>
              <w:left w:val="single" w:sz="4" w:space="0" w:color="000000"/>
              <w:bottom w:val="single" w:sz="4" w:space="0" w:color="000000"/>
              <w:right w:val="single" w:sz="4" w:space="0" w:color="000000"/>
            </w:tcBorders>
          </w:tcPr>
          <w:p w14:paraId="0297E1EB" w14:textId="4ABF034C" w:rsidR="00CC54FD" w:rsidRPr="00412D14" w:rsidRDefault="00954415">
            <w:pPr>
              <w:spacing w:after="0" w:line="259" w:lineRule="auto"/>
              <w:ind w:left="0" w:right="0" w:firstLine="0"/>
              <w:rPr>
                <w:rFonts w:ascii="Arial" w:hAnsi="Arial" w:cs="Arial"/>
              </w:rPr>
            </w:pPr>
            <w:r>
              <w:rPr>
                <w:rFonts w:ascii="Arial" w:eastAsia="Arial" w:hAnsi="Arial" w:cs="Arial"/>
              </w:rPr>
              <w:t>21/02/2024</w:t>
            </w:r>
          </w:p>
        </w:tc>
      </w:tr>
      <w:tr w:rsidR="00CC54FD" w:rsidRPr="00EE2FAD" w14:paraId="2EFE8307" w14:textId="77777777" w:rsidTr="00412D14">
        <w:trPr>
          <w:trHeight w:val="497"/>
        </w:trPr>
        <w:tc>
          <w:tcPr>
            <w:tcW w:w="2195" w:type="dxa"/>
            <w:tcBorders>
              <w:top w:val="single" w:sz="4" w:space="0" w:color="000000"/>
              <w:left w:val="single" w:sz="4" w:space="0" w:color="000000"/>
              <w:bottom w:val="single" w:sz="4" w:space="0" w:color="000000"/>
              <w:right w:val="single" w:sz="4" w:space="0" w:color="000000"/>
            </w:tcBorders>
          </w:tcPr>
          <w:p w14:paraId="21B3C140" w14:textId="3B942BE7" w:rsidR="00CC54FD" w:rsidRPr="00412D14" w:rsidRDefault="00CC54FD">
            <w:pPr>
              <w:spacing w:after="0" w:line="259" w:lineRule="auto"/>
              <w:ind w:left="2" w:right="0" w:firstLine="0"/>
              <w:rPr>
                <w:rFonts w:ascii="Arial" w:hAnsi="Arial" w:cs="Arial"/>
              </w:rPr>
            </w:pPr>
          </w:p>
        </w:tc>
        <w:tc>
          <w:tcPr>
            <w:tcW w:w="2271" w:type="dxa"/>
            <w:tcBorders>
              <w:top w:val="single" w:sz="4" w:space="0" w:color="000000"/>
              <w:left w:val="single" w:sz="4" w:space="0" w:color="000000"/>
              <w:bottom w:val="single" w:sz="4" w:space="0" w:color="000000"/>
              <w:right w:val="single" w:sz="4" w:space="0" w:color="000000"/>
            </w:tcBorders>
          </w:tcPr>
          <w:p w14:paraId="0809760A" w14:textId="4225B4C1" w:rsidR="00CC54FD" w:rsidRPr="00412D14" w:rsidRDefault="00CC54FD">
            <w:pPr>
              <w:spacing w:after="0" w:line="259" w:lineRule="auto"/>
              <w:ind w:left="2" w:right="0" w:firstLine="0"/>
              <w:rPr>
                <w:rFonts w:ascii="Arial" w:hAnsi="Arial" w:cs="Arial"/>
              </w:rPr>
            </w:pPr>
          </w:p>
        </w:tc>
        <w:tc>
          <w:tcPr>
            <w:tcW w:w="2196" w:type="dxa"/>
            <w:tcBorders>
              <w:top w:val="single" w:sz="4" w:space="0" w:color="000000"/>
              <w:left w:val="single" w:sz="4" w:space="0" w:color="000000"/>
              <w:bottom w:val="single" w:sz="4" w:space="0" w:color="000000"/>
              <w:right w:val="single" w:sz="4" w:space="0" w:color="000000"/>
            </w:tcBorders>
          </w:tcPr>
          <w:p w14:paraId="6E02238A" w14:textId="308D91F8" w:rsidR="00CC54FD" w:rsidRPr="00412D14" w:rsidRDefault="00CC54FD">
            <w:pPr>
              <w:spacing w:after="0" w:line="259" w:lineRule="auto"/>
              <w:ind w:left="2" w:right="0" w:firstLine="0"/>
              <w:rPr>
                <w:rFonts w:ascii="Arial" w:hAnsi="Arial" w:cs="Arial"/>
              </w:rPr>
            </w:pPr>
          </w:p>
        </w:tc>
        <w:tc>
          <w:tcPr>
            <w:tcW w:w="1351" w:type="dxa"/>
            <w:tcBorders>
              <w:top w:val="single" w:sz="4" w:space="0" w:color="000000"/>
              <w:left w:val="single" w:sz="4" w:space="0" w:color="000000"/>
              <w:bottom w:val="single" w:sz="4" w:space="0" w:color="000000"/>
              <w:right w:val="single" w:sz="4" w:space="0" w:color="000000"/>
            </w:tcBorders>
          </w:tcPr>
          <w:p w14:paraId="631A5107" w14:textId="355C49F2" w:rsidR="00CC54FD" w:rsidRPr="00412D14" w:rsidRDefault="00CC54FD">
            <w:pPr>
              <w:spacing w:after="0" w:line="259" w:lineRule="auto"/>
              <w:ind w:left="2" w:right="0" w:firstLine="0"/>
              <w:rPr>
                <w:rFonts w:ascii="Arial" w:hAnsi="Arial" w:cs="Arial"/>
              </w:rPr>
            </w:pPr>
          </w:p>
        </w:tc>
        <w:tc>
          <w:tcPr>
            <w:tcW w:w="1349" w:type="dxa"/>
            <w:tcBorders>
              <w:top w:val="single" w:sz="4" w:space="0" w:color="000000"/>
              <w:left w:val="single" w:sz="4" w:space="0" w:color="000000"/>
              <w:bottom w:val="single" w:sz="4" w:space="0" w:color="000000"/>
              <w:right w:val="single" w:sz="4" w:space="0" w:color="000000"/>
            </w:tcBorders>
          </w:tcPr>
          <w:p w14:paraId="03A368F7" w14:textId="785D7B9E" w:rsidR="00CC54FD" w:rsidRPr="00412D14" w:rsidRDefault="00CC54FD">
            <w:pPr>
              <w:spacing w:after="0" w:line="259" w:lineRule="auto"/>
              <w:ind w:left="0" w:right="0" w:firstLine="0"/>
              <w:rPr>
                <w:rFonts w:ascii="Arial" w:hAnsi="Arial" w:cs="Arial"/>
              </w:rPr>
            </w:pPr>
          </w:p>
        </w:tc>
      </w:tr>
      <w:tr w:rsidR="00EE2E46" w:rsidRPr="00EE2FAD" w14:paraId="61B3CC4C" w14:textId="77777777" w:rsidTr="00412D14">
        <w:trPr>
          <w:trHeight w:val="497"/>
        </w:trPr>
        <w:tc>
          <w:tcPr>
            <w:tcW w:w="2195" w:type="dxa"/>
            <w:tcBorders>
              <w:top w:val="single" w:sz="4" w:space="0" w:color="000000"/>
              <w:left w:val="single" w:sz="4" w:space="0" w:color="000000"/>
              <w:bottom w:val="single" w:sz="4" w:space="0" w:color="000000"/>
              <w:right w:val="single" w:sz="4" w:space="0" w:color="000000"/>
            </w:tcBorders>
          </w:tcPr>
          <w:p w14:paraId="74F57F54" w14:textId="2690C777" w:rsidR="00EE2E46" w:rsidRPr="00412D14" w:rsidRDefault="00EE2E46">
            <w:pPr>
              <w:spacing w:after="0" w:line="259" w:lineRule="auto"/>
              <w:ind w:left="2" w:right="0" w:firstLine="0"/>
              <w:rPr>
                <w:rFonts w:ascii="Arial" w:hAnsi="Arial" w:cs="Arial"/>
              </w:rPr>
            </w:pPr>
          </w:p>
        </w:tc>
        <w:tc>
          <w:tcPr>
            <w:tcW w:w="2271" w:type="dxa"/>
            <w:tcBorders>
              <w:top w:val="single" w:sz="4" w:space="0" w:color="000000"/>
              <w:left w:val="single" w:sz="4" w:space="0" w:color="000000"/>
              <w:bottom w:val="single" w:sz="4" w:space="0" w:color="000000"/>
              <w:right w:val="single" w:sz="4" w:space="0" w:color="000000"/>
            </w:tcBorders>
          </w:tcPr>
          <w:p w14:paraId="0922A6EA" w14:textId="26019A7F" w:rsidR="00EE2E46" w:rsidRPr="00412D14" w:rsidRDefault="00EE2E46">
            <w:pPr>
              <w:spacing w:after="0" w:line="259" w:lineRule="auto"/>
              <w:ind w:left="2" w:right="0" w:firstLine="0"/>
              <w:rPr>
                <w:rFonts w:ascii="Arial" w:hAnsi="Arial" w:cs="Arial"/>
              </w:rPr>
            </w:pPr>
          </w:p>
        </w:tc>
        <w:tc>
          <w:tcPr>
            <w:tcW w:w="2196" w:type="dxa"/>
            <w:tcBorders>
              <w:top w:val="single" w:sz="4" w:space="0" w:color="000000"/>
              <w:left w:val="single" w:sz="4" w:space="0" w:color="000000"/>
              <w:bottom w:val="single" w:sz="4" w:space="0" w:color="000000"/>
              <w:right w:val="single" w:sz="4" w:space="0" w:color="000000"/>
            </w:tcBorders>
          </w:tcPr>
          <w:p w14:paraId="116A19FB" w14:textId="1AB4D2A4" w:rsidR="00EE2E46" w:rsidRPr="00412D14" w:rsidRDefault="00EE2E46">
            <w:pPr>
              <w:spacing w:after="0" w:line="259" w:lineRule="auto"/>
              <w:ind w:left="2" w:right="0" w:firstLine="0"/>
              <w:rPr>
                <w:rFonts w:ascii="Arial" w:hAnsi="Arial" w:cs="Arial"/>
              </w:rPr>
            </w:pPr>
          </w:p>
        </w:tc>
        <w:tc>
          <w:tcPr>
            <w:tcW w:w="1351" w:type="dxa"/>
            <w:tcBorders>
              <w:top w:val="single" w:sz="4" w:space="0" w:color="000000"/>
              <w:left w:val="single" w:sz="4" w:space="0" w:color="000000"/>
              <w:bottom w:val="single" w:sz="4" w:space="0" w:color="000000"/>
              <w:right w:val="single" w:sz="4" w:space="0" w:color="000000"/>
            </w:tcBorders>
          </w:tcPr>
          <w:p w14:paraId="2E7363CA" w14:textId="4455629C" w:rsidR="00EE2E46" w:rsidRPr="00412D14" w:rsidRDefault="00EE2E46">
            <w:pPr>
              <w:spacing w:after="0" w:line="259" w:lineRule="auto"/>
              <w:ind w:left="2" w:right="0" w:firstLine="0"/>
              <w:rPr>
                <w:rFonts w:ascii="Arial" w:hAnsi="Arial" w:cs="Arial"/>
              </w:rPr>
            </w:pPr>
          </w:p>
        </w:tc>
        <w:tc>
          <w:tcPr>
            <w:tcW w:w="1349" w:type="dxa"/>
            <w:tcBorders>
              <w:top w:val="single" w:sz="4" w:space="0" w:color="000000"/>
              <w:left w:val="single" w:sz="4" w:space="0" w:color="000000"/>
              <w:bottom w:val="single" w:sz="4" w:space="0" w:color="000000"/>
              <w:right w:val="single" w:sz="4" w:space="0" w:color="000000"/>
            </w:tcBorders>
          </w:tcPr>
          <w:p w14:paraId="1BC7F94D" w14:textId="3E6503F3" w:rsidR="00EE2E46" w:rsidRPr="00412D14" w:rsidRDefault="00EE2E46">
            <w:pPr>
              <w:spacing w:after="0" w:line="259" w:lineRule="auto"/>
              <w:ind w:left="0" w:right="0" w:firstLine="0"/>
              <w:rPr>
                <w:rFonts w:ascii="Arial" w:hAnsi="Arial" w:cs="Arial"/>
              </w:rPr>
            </w:pPr>
          </w:p>
        </w:tc>
      </w:tr>
      <w:tr w:rsidR="00367E27" w:rsidRPr="00EE2FAD" w14:paraId="7012DAD6" w14:textId="77777777" w:rsidTr="00412D14">
        <w:trPr>
          <w:trHeight w:val="497"/>
        </w:trPr>
        <w:tc>
          <w:tcPr>
            <w:tcW w:w="2195" w:type="dxa"/>
            <w:tcBorders>
              <w:top w:val="single" w:sz="4" w:space="0" w:color="000000"/>
              <w:left w:val="single" w:sz="4" w:space="0" w:color="000000"/>
              <w:bottom w:val="single" w:sz="4" w:space="0" w:color="000000"/>
              <w:right w:val="single" w:sz="4" w:space="0" w:color="000000"/>
            </w:tcBorders>
          </w:tcPr>
          <w:p w14:paraId="49B16AD5" w14:textId="40522613" w:rsidR="00367E27" w:rsidRPr="00412D14" w:rsidRDefault="00367E27">
            <w:pPr>
              <w:spacing w:after="0" w:line="259" w:lineRule="auto"/>
              <w:ind w:left="2" w:right="0" w:firstLine="0"/>
              <w:rPr>
                <w:rFonts w:ascii="Arial" w:hAnsi="Arial" w:cs="Arial"/>
              </w:rPr>
            </w:pPr>
          </w:p>
        </w:tc>
        <w:tc>
          <w:tcPr>
            <w:tcW w:w="2271" w:type="dxa"/>
            <w:tcBorders>
              <w:top w:val="single" w:sz="4" w:space="0" w:color="000000"/>
              <w:left w:val="single" w:sz="4" w:space="0" w:color="000000"/>
              <w:bottom w:val="single" w:sz="4" w:space="0" w:color="000000"/>
              <w:right w:val="single" w:sz="4" w:space="0" w:color="000000"/>
            </w:tcBorders>
          </w:tcPr>
          <w:p w14:paraId="365C4472" w14:textId="7B2E752C" w:rsidR="00367E27" w:rsidRPr="00412D14" w:rsidRDefault="00367E27">
            <w:pPr>
              <w:spacing w:after="0" w:line="259" w:lineRule="auto"/>
              <w:ind w:left="2" w:right="0" w:firstLine="0"/>
              <w:rPr>
                <w:rFonts w:ascii="Arial" w:hAnsi="Arial" w:cs="Arial"/>
              </w:rPr>
            </w:pPr>
          </w:p>
        </w:tc>
        <w:tc>
          <w:tcPr>
            <w:tcW w:w="2196" w:type="dxa"/>
            <w:tcBorders>
              <w:top w:val="single" w:sz="4" w:space="0" w:color="000000"/>
              <w:left w:val="single" w:sz="4" w:space="0" w:color="000000"/>
              <w:bottom w:val="single" w:sz="4" w:space="0" w:color="000000"/>
              <w:right w:val="single" w:sz="4" w:space="0" w:color="000000"/>
            </w:tcBorders>
          </w:tcPr>
          <w:p w14:paraId="0CBAA5CE" w14:textId="04E25DA0" w:rsidR="00367E27" w:rsidRDefault="00367E27">
            <w:pPr>
              <w:spacing w:after="0" w:line="259" w:lineRule="auto"/>
              <w:ind w:left="2" w:right="0" w:firstLine="0"/>
              <w:rPr>
                <w:rFonts w:ascii="Arial" w:hAnsi="Arial" w:cs="Arial"/>
              </w:rPr>
            </w:pPr>
          </w:p>
        </w:tc>
        <w:tc>
          <w:tcPr>
            <w:tcW w:w="1351" w:type="dxa"/>
            <w:tcBorders>
              <w:top w:val="single" w:sz="4" w:space="0" w:color="000000"/>
              <w:left w:val="single" w:sz="4" w:space="0" w:color="000000"/>
              <w:bottom w:val="single" w:sz="4" w:space="0" w:color="000000"/>
              <w:right w:val="single" w:sz="4" w:space="0" w:color="000000"/>
            </w:tcBorders>
          </w:tcPr>
          <w:p w14:paraId="6F7781E3" w14:textId="23A17A6D" w:rsidR="00367E27" w:rsidRDefault="00367E27">
            <w:pPr>
              <w:spacing w:after="0" w:line="259" w:lineRule="auto"/>
              <w:ind w:left="2" w:right="0" w:firstLine="0"/>
              <w:rPr>
                <w:rFonts w:ascii="Arial" w:hAnsi="Arial" w:cs="Arial"/>
              </w:rPr>
            </w:pPr>
          </w:p>
        </w:tc>
        <w:tc>
          <w:tcPr>
            <w:tcW w:w="1349" w:type="dxa"/>
            <w:tcBorders>
              <w:top w:val="single" w:sz="4" w:space="0" w:color="000000"/>
              <w:left w:val="single" w:sz="4" w:space="0" w:color="000000"/>
              <w:bottom w:val="single" w:sz="4" w:space="0" w:color="000000"/>
              <w:right w:val="single" w:sz="4" w:space="0" w:color="000000"/>
            </w:tcBorders>
          </w:tcPr>
          <w:p w14:paraId="56BEC831" w14:textId="1B40E518" w:rsidR="00367E27" w:rsidRDefault="00367E27">
            <w:pPr>
              <w:spacing w:after="0" w:line="259" w:lineRule="auto"/>
              <w:ind w:left="0" w:right="0" w:firstLine="0"/>
              <w:rPr>
                <w:rFonts w:ascii="Arial" w:hAnsi="Arial" w:cs="Arial"/>
              </w:rPr>
            </w:pPr>
          </w:p>
        </w:tc>
      </w:tr>
      <w:tr w:rsidR="00CC6550" w:rsidRPr="00EE2FAD" w14:paraId="0189E78C" w14:textId="77777777" w:rsidTr="00412D14">
        <w:trPr>
          <w:trHeight w:val="497"/>
        </w:trPr>
        <w:tc>
          <w:tcPr>
            <w:tcW w:w="2195" w:type="dxa"/>
            <w:tcBorders>
              <w:top w:val="single" w:sz="4" w:space="0" w:color="000000"/>
              <w:left w:val="single" w:sz="4" w:space="0" w:color="000000"/>
              <w:bottom w:val="single" w:sz="4" w:space="0" w:color="000000"/>
              <w:right w:val="single" w:sz="4" w:space="0" w:color="000000"/>
            </w:tcBorders>
          </w:tcPr>
          <w:p w14:paraId="3430CFE4" w14:textId="77777777" w:rsidR="00CC6550" w:rsidRPr="00412D14" w:rsidRDefault="00CC6550">
            <w:pPr>
              <w:spacing w:after="0" w:line="259" w:lineRule="auto"/>
              <w:ind w:left="2" w:right="0" w:firstLine="0"/>
              <w:rPr>
                <w:rFonts w:ascii="Arial" w:hAnsi="Arial" w:cs="Arial"/>
              </w:rPr>
            </w:pPr>
          </w:p>
        </w:tc>
        <w:tc>
          <w:tcPr>
            <w:tcW w:w="2271" w:type="dxa"/>
            <w:tcBorders>
              <w:top w:val="single" w:sz="4" w:space="0" w:color="000000"/>
              <w:left w:val="single" w:sz="4" w:space="0" w:color="000000"/>
              <w:bottom w:val="single" w:sz="4" w:space="0" w:color="000000"/>
              <w:right w:val="single" w:sz="4" w:space="0" w:color="000000"/>
            </w:tcBorders>
          </w:tcPr>
          <w:p w14:paraId="4FA434AB" w14:textId="77777777" w:rsidR="00CC6550" w:rsidRPr="00412D14" w:rsidRDefault="00CC6550">
            <w:pPr>
              <w:spacing w:after="0" w:line="259" w:lineRule="auto"/>
              <w:ind w:left="2" w:right="0" w:firstLine="0"/>
              <w:rPr>
                <w:rFonts w:ascii="Arial" w:hAnsi="Arial" w:cs="Arial"/>
              </w:rPr>
            </w:pPr>
          </w:p>
        </w:tc>
        <w:tc>
          <w:tcPr>
            <w:tcW w:w="2196" w:type="dxa"/>
            <w:tcBorders>
              <w:top w:val="single" w:sz="4" w:space="0" w:color="000000"/>
              <w:left w:val="single" w:sz="4" w:space="0" w:color="000000"/>
              <w:bottom w:val="single" w:sz="4" w:space="0" w:color="000000"/>
              <w:right w:val="single" w:sz="4" w:space="0" w:color="000000"/>
            </w:tcBorders>
          </w:tcPr>
          <w:p w14:paraId="698571F7" w14:textId="77777777" w:rsidR="00CC6550" w:rsidRDefault="00CC6550">
            <w:pPr>
              <w:spacing w:after="0" w:line="259" w:lineRule="auto"/>
              <w:ind w:left="2" w:right="0" w:firstLine="0"/>
              <w:rPr>
                <w:rFonts w:ascii="Arial" w:hAnsi="Arial" w:cs="Arial"/>
              </w:rPr>
            </w:pPr>
          </w:p>
        </w:tc>
        <w:tc>
          <w:tcPr>
            <w:tcW w:w="1351" w:type="dxa"/>
            <w:tcBorders>
              <w:top w:val="single" w:sz="4" w:space="0" w:color="000000"/>
              <w:left w:val="single" w:sz="4" w:space="0" w:color="000000"/>
              <w:bottom w:val="single" w:sz="4" w:space="0" w:color="000000"/>
              <w:right w:val="single" w:sz="4" w:space="0" w:color="000000"/>
            </w:tcBorders>
          </w:tcPr>
          <w:p w14:paraId="3F71F582" w14:textId="77777777" w:rsidR="00CC6550" w:rsidRDefault="00CC6550">
            <w:pPr>
              <w:spacing w:after="0" w:line="259" w:lineRule="auto"/>
              <w:ind w:left="2" w:right="0" w:firstLine="0"/>
              <w:rPr>
                <w:rFonts w:ascii="Arial" w:hAnsi="Arial" w:cs="Arial"/>
              </w:rPr>
            </w:pPr>
          </w:p>
        </w:tc>
        <w:tc>
          <w:tcPr>
            <w:tcW w:w="1349" w:type="dxa"/>
            <w:tcBorders>
              <w:top w:val="single" w:sz="4" w:space="0" w:color="000000"/>
              <w:left w:val="single" w:sz="4" w:space="0" w:color="000000"/>
              <w:bottom w:val="single" w:sz="4" w:space="0" w:color="000000"/>
              <w:right w:val="single" w:sz="4" w:space="0" w:color="000000"/>
            </w:tcBorders>
          </w:tcPr>
          <w:p w14:paraId="11E461D5" w14:textId="77777777" w:rsidR="00CC6550" w:rsidRDefault="00CC6550">
            <w:pPr>
              <w:spacing w:after="0" w:line="259" w:lineRule="auto"/>
              <w:ind w:left="0" w:right="0" w:firstLine="0"/>
              <w:rPr>
                <w:rFonts w:ascii="Arial" w:hAnsi="Arial" w:cs="Arial"/>
              </w:rPr>
            </w:pPr>
          </w:p>
        </w:tc>
      </w:tr>
    </w:tbl>
    <w:p w14:paraId="1E62382F" w14:textId="77777777" w:rsidR="00412D14" w:rsidRPr="00EE2FAD" w:rsidRDefault="00412D14" w:rsidP="00610C28">
      <w:pPr>
        <w:spacing w:after="0" w:line="259" w:lineRule="auto"/>
        <w:ind w:right="0"/>
        <w:rPr>
          <w:rFonts w:ascii="Arial" w:hAnsi="Arial" w:cs="Arial"/>
          <w:highlight w:val="yellow"/>
        </w:rPr>
      </w:pPr>
    </w:p>
    <w:p w14:paraId="3912210A" w14:textId="77777777" w:rsidR="00CC54FD" w:rsidRDefault="00752B4C">
      <w:pPr>
        <w:spacing w:after="0" w:line="259" w:lineRule="auto"/>
        <w:ind w:left="9" w:right="0"/>
        <w:rPr>
          <w:rFonts w:ascii="Arial" w:eastAsia="Arial" w:hAnsi="Arial" w:cs="Arial"/>
          <w:b/>
        </w:rPr>
      </w:pPr>
      <w:r w:rsidRPr="00412D14">
        <w:rPr>
          <w:rFonts w:ascii="Arial" w:eastAsia="Arial" w:hAnsi="Arial" w:cs="Arial"/>
          <w:b/>
        </w:rPr>
        <w:t xml:space="preserve">Policy: Revision History and distribution </w:t>
      </w:r>
    </w:p>
    <w:p w14:paraId="078A5ECB" w14:textId="77777777" w:rsidR="00412D14" w:rsidRPr="00412D14" w:rsidRDefault="00412D14">
      <w:pPr>
        <w:spacing w:after="0" w:line="259" w:lineRule="auto"/>
        <w:ind w:left="9" w:right="0"/>
        <w:rPr>
          <w:rFonts w:ascii="Arial" w:hAnsi="Arial" w:cs="Arial"/>
          <w:b/>
        </w:rPr>
      </w:pPr>
    </w:p>
    <w:tbl>
      <w:tblPr>
        <w:tblStyle w:val="TableGrid"/>
        <w:tblW w:w="9048" w:type="dxa"/>
        <w:tblInd w:w="19" w:type="dxa"/>
        <w:tblCellMar>
          <w:top w:w="45" w:type="dxa"/>
          <w:left w:w="106" w:type="dxa"/>
          <w:right w:w="65" w:type="dxa"/>
        </w:tblCellMar>
        <w:tblLook w:val="04A0" w:firstRow="1" w:lastRow="0" w:firstColumn="1" w:lastColumn="0" w:noHBand="0" w:noVBand="1"/>
      </w:tblPr>
      <w:tblGrid>
        <w:gridCol w:w="1339"/>
        <w:gridCol w:w="1273"/>
        <w:gridCol w:w="5022"/>
        <w:gridCol w:w="1414"/>
      </w:tblGrid>
      <w:tr w:rsidR="00AA3956" w:rsidRPr="00412D14" w14:paraId="5383E1CA" w14:textId="77777777" w:rsidTr="00AA3956">
        <w:trPr>
          <w:trHeight w:val="914"/>
        </w:trPr>
        <w:tc>
          <w:tcPr>
            <w:tcW w:w="1341" w:type="dxa"/>
            <w:tcBorders>
              <w:top w:val="single" w:sz="4" w:space="0" w:color="000000"/>
              <w:left w:val="single" w:sz="4" w:space="0" w:color="000000"/>
              <w:bottom w:val="single" w:sz="4" w:space="0" w:color="000000"/>
              <w:right w:val="single" w:sz="4" w:space="0" w:color="000000"/>
            </w:tcBorders>
          </w:tcPr>
          <w:p w14:paraId="62634346" w14:textId="77777777" w:rsidR="00AA3956" w:rsidRPr="00412D14" w:rsidRDefault="00AA3956">
            <w:pPr>
              <w:spacing w:after="0" w:line="259" w:lineRule="auto"/>
              <w:ind w:left="21" w:right="19" w:firstLine="0"/>
              <w:jc w:val="center"/>
              <w:rPr>
                <w:rFonts w:ascii="Arial" w:hAnsi="Arial" w:cs="Arial"/>
              </w:rPr>
            </w:pPr>
            <w:r w:rsidRPr="00412D14">
              <w:rPr>
                <w:rFonts w:ascii="Arial" w:hAnsi="Arial" w:cs="Arial"/>
              </w:rPr>
              <w:t xml:space="preserve">Policy Version No. </w:t>
            </w:r>
          </w:p>
        </w:tc>
        <w:tc>
          <w:tcPr>
            <w:tcW w:w="1245" w:type="dxa"/>
            <w:tcBorders>
              <w:top w:val="single" w:sz="4" w:space="0" w:color="000000"/>
              <w:left w:val="single" w:sz="4" w:space="0" w:color="000000"/>
              <w:bottom w:val="single" w:sz="4" w:space="0" w:color="000000"/>
              <w:right w:val="single" w:sz="4" w:space="0" w:color="000000"/>
            </w:tcBorders>
          </w:tcPr>
          <w:p w14:paraId="1518B0BF" w14:textId="77777777" w:rsidR="00AA3956" w:rsidRPr="00412D14" w:rsidRDefault="00AA3956">
            <w:pPr>
              <w:spacing w:after="0" w:line="259" w:lineRule="auto"/>
              <w:ind w:left="10" w:right="0"/>
              <w:rPr>
                <w:rFonts w:ascii="Arial" w:hAnsi="Arial" w:cs="Arial"/>
              </w:rPr>
            </w:pPr>
            <w:r w:rsidRPr="00412D14">
              <w:rPr>
                <w:rFonts w:ascii="Arial" w:hAnsi="Arial" w:cs="Arial"/>
              </w:rPr>
              <w:t xml:space="preserve">Date – revision/ distribution </w:t>
            </w:r>
          </w:p>
        </w:tc>
        <w:tc>
          <w:tcPr>
            <w:tcW w:w="5045" w:type="dxa"/>
            <w:tcBorders>
              <w:top w:val="single" w:sz="4" w:space="0" w:color="000000"/>
              <w:left w:val="single" w:sz="4" w:space="0" w:color="000000"/>
              <w:bottom w:val="single" w:sz="4" w:space="0" w:color="000000"/>
              <w:right w:val="single" w:sz="4" w:space="0" w:color="000000"/>
            </w:tcBorders>
          </w:tcPr>
          <w:p w14:paraId="6F413A78" w14:textId="77777777" w:rsidR="00AA3956" w:rsidRPr="00412D14" w:rsidRDefault="00AA3956">
            <w:pPr>
              <w:spacing w:after="0" w:line="259" w:lineRule="auto"/>
              <w:ind w:left="3" w:right="0" w:firstLine="0"/>
              <w:rPr>
                <w:rFonts w:ascii="Arial" w:hAnsi="Arial" w:cs="Arial"/>
              </w:rPr>
            </w:pPr>
            <w:r w:rsidRPr="00412D14">
              <w:rPr>
                <w:rFonts w:ascii="Arial" w:hAnsi="Arial" w:cs="Arial"/>
              </w:rPr>
              <w:t xml:space="preserve">Summary: Revisions and distribution </w:t>
            </w:r>
          </w:p>
        </w:tc>
        <w:tc>
          <w:tcPr>
            <w:tcW w:w="1417" w:type="dxa"/>
            <w:tcBorders>
              <w:top w:val="single" w:sz="4" w:space="0" w:color="000000"/>
              <w:left w:val="single" w:sz="4" w:space="0" w:color="000000"/>
              <w:bottom w:val="single" w:sz="4" w:space="0" w:color="000000"/>
              <w:right w:val="single" w:sz="4" w:space="0" w:color="000000"/>
            </w:tcBorders>
          </w:tcPr>
          <w:p w14:paraId="346CF871" w14:textId="77777777" w:rsidR="00AA3956" w:rsidRPr="00412D14" w:rsidRDefault="00AA3956">
            <w:pPr>
              <w:spacing w:after="0" w:line="259" w:lineRule="auto"/>
              <w:ind w:left="3" w:right="0" w:firstLine="0"/>
              <w:rPr>
                <w:rFonts w:ascii="Arial" w:hAnsi="Arial" w:cs="Arial"/>
              </w:rPr>
            </w:pPr>
            <w:r w:rsidRPr="00412D14">
              <w:rPr>
                <w:rFonts w:ascii="Arial" w:hAnsi="Arial" w:cs="Arial"/>
              </w:rPr>
              <w:t>Updated by – initials</w:t>
            </w:r>
          </w:p>
        </w:tc>
      </w:tr>
      <w:tr w:rsidR="00AA3956" w:rsidRPr="00412D14" w14:paraId="2B5DBAF6" w14:textId="77777777" w:rsidTr="00AA3956">
        <w:trPr>
          <w:trHeight w:val="670"/>
        </w:trPr>
        <w:tc>
          <w:tcPr>
            <w:tcW w:w="1341" w:type="dxa"/>
            <w:tcBorders>
              <w:top w:val="single" w:sz="4" w:space="0" w:color="000000"/>
              <w:left w:val="single" w:sz="4" w:space="0" w:color="000000"/>
              <w:bottom w:val="single" w:sz="4" w:space="0" w:color="000000"/>
              <w:right w:val="single" w:sz="4" w:space="0" w:color="000000"/>
            </w:tcBorders>
          </w:tcPr>
          <w:p w14:paraId="0579DAF4" w14:textId="15E74D96" w:rsidR="00AA3956" w:rsidRPr="00412D14" w:rsidRDefault="00954415">
            <w:pPr>
              <w:spacing w:after="0" w:line="259" w:lineRule="auto"/>
              <w:ind w:left="2" w:right="0" w:firstLine="0"/>
              <w:rPr>
                <w:rFonts w:ascii="Arial" w:hAnsi="Arial" w:cs="Arial"/>
              </w:rPr>
            </w:pPr>
            <w:r>
              <w:rPr>
                <w:rFonts w:ascii="Arial" w:hAnsi="Arial" w:cs="Arial"/>
              </w:rPr>
              <w:t>1.0</w:t>
            </w:r>
          </w:p>
        </w:tc>
        <w:tc>
          <w:tcPr>
            <w:tcW w:w="1245" w:type="dxa"/>
            <w:tcBorders>
              <w:top w:val="single" w:sz="4" w:space="0" w:color="000000"/>
              <w:left w:val="single" w:sz="4" w:space="0" w:color="000000"/>
              <w:bottom w:val="single" w:sz="4" w:space="0" w:color="000000"/>
              <w:right w:val="single" w:sz="4" w:space="0" w:color="000000"/>
            </w:tcBorders>
          </w:tcPr>
          <w:p w14:paraId="2ED16A94" w14:textId="3CFDD81F" w:rsidR="00AA3956" w:rsidRPr="00412D14" w:rsidRDefault="00F66F9F">
            <w:pPr>
              <w:spacing w:after="0" w:line="259" w:lineRule="auto"/>
              <w:ind w:left="0" w:right="0" w:firstLine="0"/>
              <w:rPr>
                <w:rFonts w:ascii="Arial" w:hAnsi="Arial" w:cs="Arial"/>
              </w:rPr>
            </w:pPr>
            <w:r>
              <w:rPr>
                <w:rFonts w:ascii="Arial" w:hAnsi="Arial" w:cs="Arial"/>
              </w:rPr>
              <w:t>21/02/2024</w:t>
            </w:r>
          </w:p>
        </w:tc>
        <w:tc>
          <w:tcPr>
            <w:tcW w:w="5045" w:type="dxa"/>
            <w:tcBorders>
              <w:top w:val="single" w:sz="4" w:space="0" w:color="000000"/>
              <w:left w:val="single" w:sz="4" w:space="0" w:color="000000"/>
              <w:bottom w:val="single" w:sz="4" w:space="0" w:color="000000"/>
              <w:right w:val="single" w:sz="4" w:space="0" w:color="000000"/>
            </w:tcBorders>
          </w:tcPr>
          <w:p w14:paraId="32F2827D" w14:textId="7119ABC6" w:rsidR="00AA3956" w:rsidRPr="00412D14" w:rsidRDefault="00F66F9F" w:rsidP="00610C28">
            <w:pPr>
              <w:spacing w:after="0" w:line="259" w:lineRule="auto"/>
              <w:ind w:right="0"/>
              <w:rPr>
                <w:rFonts w:ascii="Arial" w:hAnsi="Arial" w:cs="Arial"/>
              </w:rPr>
            </w:pPr>
            <w:r>
              <w:rPr>
                <w:rFonts w:ascii="Arial" w:hAnsi="Arial" w:cs="Arial"/>
              </w:rPr>
              <w:t>Existing fees and charges policy revised to subcontractor management policy</w:t>
            </w:r>
          </w:p>
        </w:tc>
        <w:tc>
          <w:tcPr>
            <w:tcW w:w="1417" w:type="dxa"/>
            <w:tcBorders>
              <w:top w:val="single" w:sz="4" w:space="0" w:color="000000"/>
              <w:left w:val="single" w:sz="4" w:space="0" w:color="000000"/>
              <w:bottom w:val="single" w:sz="4" w:space="0" w:color="000000"/>
              <w:right w:val="single" w:sz="4" w:space="0" w:color="000000"/>
            </w:tcBorders>
          </w:tcPr>
          <w:p w14:paraId="1C84BD45" w14:textId="255B1F46" w:rsidR="00AA3956" w:rsidRPr="00412D14" w:rsidRDefault="00F66F9F" w:rsidP="00610C28">
            <w:pPr>
              <w:spacing w:after="0" w:line="259" w:lineRule="auto"/>
              <w:ind w:right="0"/>
              <w:rPr>
                <w:rFonts w:ascii="Arial" w:hAnsi="Arial" w:cs="Arial"/>
              </w:rPr>
            </w:pPr>
            <w:r>
              <w:rPr>
                <w:rFonts w:ascii="Arial" w:hAnsi="Arial" w:cs="Arial"/>
              </w:rPr>
              <w:t>PM</w:t>
            </w:r>
          </w:p>
        </w:tc>
      </w:tr>
      <w:tr w:rsidR="00AA3956" w:rsidRPr="00610C28" w14:paraId="2E17D01D" w14:textId="77777777" w:rsidTr="00AA3956">
        <w:trPr>
          <w:trHeight w:val="840"/>
        </w:trPr>
        <w:tc>
          <w:tcPr>
            <w:tcW w:w="1341" w:type="dxa"/>
            <w:tcBorders>
              <w:top w:val="single" w:sz="4" w:space="0" w:color="000000"/>
              <w:left w:val="single" w:sz="4" w:space="0" w:color="000000"/>
              <w:bottom w:val="single" w:sz="4" w:space="0" w:color="000000"/>
              <w:right w:val="single" w:sz="4" w:space="0" w:color="000000"/>
            </w:tcBorders>
          </w:tcPr>
          <w:p w14:paraId="60E4172F" w14:textId="3631AB07" w:rsidR="00AA3956" w:rsidRPr="00412D14" w:rsidRDefault="005E6452" w:rsidP="005E6452">
            <w:pPr>
              <w:spacing w:after="0" w:line="259" w:lineRule="auto"/>
              <w:ind w:left="2" w:right="0" w:firstLine="0"/>
              <w:rPr>
                <w:rFonts w:ascii="Arial" w:hAnsi="Arial" w:cs="Arial"/>
              </w:rPr>
            </w:pPr>
            <w:r>
              <w:rPr>
                <w:rFonts w:ascii="Arial" w:hAnsi="Arial" w:cs="Arial"/>
              </w:rPr>
              <w:t>1.1</w:t>
            </w:r>
          </w:p>
        </w:tc>
        <w:tc>
          <w:tcPr>
            <w:tcW w:w="1245" w:type="dxa"/>
            <w:tcBorders>
              <w:top w:val="single" w:sz="4" w:space="0" w:color="000000"/>
              <w:left w:val="single" w:sz="4" w:space="0" w:color="000000"/>
              <w:bottom w:val="single" w:sz="4" w:space="0" w:color="000000"/>
              <w:right w:val="single" w:sz="4" w:space="0" w:color="000000"/>
            </w:tcBorders>
          </w:tcPr>
          <w:p w14:paraId="295A5964" w14:textId="2ED268E0" w:rsidR="00AA3956" w:rsidRPr="00412D14" w:rsidRDefault="005E6452">
            <w:pPr>
              <w:spacing w:after="0" w:line="259" w:lineRule="auto"/>
              <w:ind w:left="0" w:right="0" w:firstLine="0"/>
              <w:rPr>
                <w:rFonts w:ascii="Arial" w:hAnsi="Arial" w:cs="Arial"/>
              </w:rPr>
            </w:pPr>
            <w:r>
              <w:rPr>
                <w:rFonts w:ascii="Arial" w:hAnsi="Arial" w:cs="Arial"/>
              </w:rPr>
              <w:t>18/11/2024</w:t>
            </w:r>
          </w:p>
        </w:tc>
        <w:tc>
          <w:tcPr>
            <w:tcW w:w="5045" w:type="dxa"/>
            <w:tcBorders>
              <w:top w:val="single" w:sz="4" w:space="0" w:color="000000"/>
              <w:left w:val="single" w:sz="4" w:space="0" w:color="000000"/>
              <w:bottom w:val="single" w:sz="4" w:space="0" w:color="000000"/>
              <w:right w:val="single" w:sz="4" w:space="0" w:color="000000"/>
            </w:tcBorders>
          </w:tcPr>
          <w:p w14:paraId="0A2419B6" w14:textId="75296CAC" w:rsidR="00AA3956" w:rsidRPr="00412D14" w:rsidRDefault="005E6452">
            <w:pPr>
              <w:spacing w:after="0" w:line="259" w:lineRule="auto"/>
              <w:ind w:left="3" w:right="0" w:firstLine="0"/>
              <w:rPr>
                <w:rFonts w:ascii="Arial" w:hAnsi="Arial" w:cs="Arial"/>
              </w:rPr>
            </w:pPr>
            <w:r>
              <w:rPr>
                <w:rFonts w:ascii="Arial" w:hAnsi="Arial" w:cs="Arial"/>
              </w:rPr>
              <w:t>Checks for changes from AEB to ASF and new funding rules that may have affected the policy</w:t>
            </w:r>
            <w:r w:rsidR="00853C15">
              <w:rPr>
                <w:rFonts w:ascii="Arial" w:hAnsi="Arial" w:cs="Arial"/>
              </w:rPr>
              <w:t>.  Also removed previous brand names.</w:t>
            </w:r>
          </w:p>
        </w:tc>
        <w:tc>
          <w:tcPr>
            <w:tcW w:w="1417" w:type="dxa"/>
            <w:tcBorders>
              <w:top w:val="single" w:sz="4" w:space="0" w:color="000000"/>
              <w:left w:val="single" w:sz="4" w:space="0" w:color="000000"/>
              <w:bottom w:val="single" w:sz="4" w:space="0" w:color="000000"/>
              <w:right w:val="single" w:sz="4" w:space="0" w:color="000000"/>
            </w:tcBorders>
          </w:tcPr>
          <w:p w14:paraId="25FB206E" w14:textId="5AB7BF2F" w:rsidR="00AA3956" w:rsidRPr="00610C28" w:rsidRDefault="005E6452">
            <w:pPr>
              <w:spacing w:after="0" w:line="259" w:lineRule="auto"/>
              <w:ind w:left="3" w:right="0" w:firstLine="0"/>
              <w:rPr>
                <w:rFonts w:ascii="Arial" w:hAnsi="Arial" w:cs="Arial"/>
              </w:rPr>
            </w:pPr>
            <w:r>
              <w:rPr>
                <w:rFonts w:ascii="Arial" w:hAnsi="Arial" w:cs="Arial"/>
              </w:rPr>
              <w:t>PM</w:t>
            </w:r>
          </w:p>
        </w:tc>
      </w:tr>
      <w:tr w:rsidR="00EE2E46" w:rsidRPr="00610C28" w14:paraId="7F7879B8" w14:textId="77777777" w:rsidTr="00AA3956">
        <w:trPr>
          <w:trHeight w:val="840"/>
        </w:trPr>
        <w:tc>
          <w:tcPr>
            <w:tcW w:w="1341" w:type="dxa"/>
            <w:tcBorders>
              <w:top w:val="single" w:sz="4" w:space="0" w:color="000000"/>
              <w:left w:val="single" w:sz="4" w:space="0" w:color="000000"/>
              <w:bottom w:val="single" w:sz="4" w:space="0" w:color="000000"/>
              <w:right w:val="single" w:sz="4" w:space="0" w:color="000000"/>
            </w:tcBorders>
          </w:tcPr>
          <w:p w14:paraId="6297AC32" w14:textId="69FEFAB3" w:rsidR="00EE2E46" w:rsidRPr="00412D14" w:rsidRDefault="00EE2E46">
            <w:pPr>
              <w:spacing w:after="153" w:line="259" w:lineRule="auto"/>
              <w:ind w:left="2" w:right="0" w:firstLine="0"/>
              <w:rPr>
                <w:rFonts w:ascii="Arial" w:hAnsi="Arial" w:cs="Arial"/>
              </w:rPr>
            </w:pPr>
          </w:p>
        </w:tc>
        <w:tc>
          <w:tcPr>
            <w:tcW w:w="1245" w:type="dxa"/>
            <w:tcBorders>
              <w:top w:val="single" w:sz="4" w:space="0" w:color="000000"/>
              <w:left w:val="single" w:sz="4" w:space="0" w:color="000000"/>
              <w:bottom w:val="single" w:sz="4" w:space="0" w:color="000000"/>
              <w:right w:val="single" w:sz="4" w:space="0" w:color="000000"/>
            </w:tcBorders>
          </w:tcPr>
          <w:p w14:paraId="6FB5D4D3" w14:textId="520A2374" w:rsidR="00EE2E46" w:rsidRDefault="00EE2E46">
            <w:pPr>
              <w:spacing w:after="0" w:line="259" w:lineRule="auto"/>
              <w:ind w:left="0" w:right="0" w:firstLine="0"/>
              <w:rPr>
                <w:rFonts w:ascii="Arial" w:hAnsi="Arial" w:cs="Arial"/>
              </w:rPr>
            </w:pPr>
          </w:p>
        </w:tc>
        <w:tc>
          <w:tcPr>
            <w:tcW w:w="5045" w:type="dxa"/>
            <w:tcBorders>
              <w:top w:val="single" w:sz="4" w:space="0" w:color="000000"/>
              <w:left w:val="single" w:sz="4" w:space="0" w:color="000000"/>
              <w:bottom w:val="single" w:sz="4" w:space="0" w:color="000000"/>
              <w:right w:val="single" w:sz="4" w:space="0" w:color="000000"/>
            </w:tcBorders>
          </w:tcPr>
          <w:p w14:paraId="2DB29A9D" w14:textId="01AC822A" w:rsidR="00EE2E46" w:rsidRPr="00412D14" w:rsidRDefault="00EE2E46">
            <w:pPr>
              <w:spacing w:after="0" w:line="259" w:lineRule="auto"/>
              <w:ind w:left="3" w:right="0" w:firstLine="0"/>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Pr>
          <w:p w14:paraId="37E24B88" w14:textId="07812D1E" w:rsidR="00EE2E46" w:rsidRPr="00412D14" w:rsidRDefault="00EE2E46">
            <w:pPr>
              <w:spacing w:after="0" w:line="259" w:lineRule="auto"/>
              <w:ind w:left="3" w:right="0" w:firstLine="0"/>
              <w:rPr>
                <w:rFonts w:ascii="Arial" w:hAnsi="Arial" w:cs="Arial"/>
              </w:rPr>
            </w:pPr>
          </w:p>
        </w:tc>
      </w:tr>
      <w:tr w:rsidR="00985146" w:rsidRPr="00610C28" w14:paraId="77FDE12F" w14:textId="77777777" w:rsidTr="00AA3956">
        <w:trPr>
          <w:trHeight w:val="840"/>
        </w:trPr>
        <w:tc>
          <w:tcPr>
            <w:tcW w:w="1341" w:type="dxa"/>
            <w:tcBorders>
              <w:top w:val="single" w:sz="4" w:space="0" w:color="000000"/>
              <w:left w:val="single" w:sz="4" w:space="0" w:color="000000"/>
              <w:bottom w:val="single" w:sz="4" w:space="0" w:color="000000"/>
              <w:right w:val="single" w:sz="4" w:space="0" w:color="000000"/>
            </w:tcBorders>
          </w:tcPr>
          <w:p w14:paraId="4BE27577" w14:textId="41595FBE" w:rsidR="00985146" w:rsidRDefault="00985146" w:rsidP="00985146">
            <w:pPr>
              <w:spacing w:after="153" w:line="259" w:lineRule="auto"/>
              <w:ind w:left="2" w:right="0" w:firstLine="0"/>
              <w:rPr>
                <w:rFonts w:ascii="Arial" w:hAnsi="Arial" w:cs="Arial"/>
              </w:rPr>
            </w:pPr>
          </w:p>
        </w:tc>
        <w:tc>
          <w:tcPr>
            <w:tcW w:w="1245" w:type="dxa"/>
            <w:tcBorders>
              <w:top w:val="single" w:sz="4" w:space="0" w:color="000000"/>
              <w:left w:val="single" w:sz="4" w:space="0" w:color="000000"/>
              <w:bottom w:val="single" w:sz="4" w:space="0" w:color="000000"/>
              <w:right w:val="single" w:sz="4" w:space="0" w:color="000000"/>
            </w:tcBorders>
          </w:tcPr>
          <w:p w14:paraId="49C1262E" w14:textId="310253E6" w:rsidR="00985146" w:rsidRDefault="00985146">
            <w:pPr>
              <w:spacing w:after="0" w:line="259" w:lineRule="auto"/>
              <w:ind w:left="0" w:right="0" w:firstLine="0"/>
              <w:rPr>
                <w:rFonts w:ascii="Arial" w:hAnsi="Arial" w:cs="Arial"/>
              </w:rPr>
            </w:pPr>
          </w:p>
        </w:tc>
        <w:tc>
          <w:tcPr>
            <w:tcW w:w="5045" w:type="dxa"/>
            <w:tcBorders>
              <w:top w:val="single" w:sz="4" w:space="0" w:color="000000"/>
              <w:left w:val="single" w:sz="4" w:space="0" w:color="000000"/>
              <w:bottom w:val="single" w:sz="4" w:space="0" w:color="000000"/>
              <w:right w:val="single" w:sz="4" w:space="0" w:color="000000"/>
            </w:tcBorders>
          </w:tcPr>
          <w:p w14:paraId="11E28549" w14:textId="5A70B5FB" w:rsidR="00985146" w:rsidRDefault="00985146">
            <w:pPr>
              <w:spacing w:after="0" w:line="259" w:lineRule="auto"/>
              <w:ind w:left="3" w:right="0" w:firstLine="0"/>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Pr>
          <w:p w14:paraId="3A1FFB71" w14:textId="75E48289" w:rsidR="00985146" w:rsidRDefault="00985146">
            <w:pPr>
              <w:spacing w:after="0" w:line="259" w:lineRule="auto"/>
              <w:ind w:left="3" w:right="0" w:firstLine="0"/>
              <w:rPr>
                <w:rFonts w:ascii="Arial" w:hAnsi="Arial" w:cs="Arial"/>
              </w:rPr>
            </w:pPr>
          </w:p>
        </w:tc>
      </w:tr>
      <w:tr w:rsidR="006B7BDF" w:rsidRPr="00610C28" w14:paraId="65926156" w14:textId="77777777" w:rsidTr="00AA3956">
        <w:trPr>
          <w:trHeight w:val="840"/>
        </w:trPr>
        <w:tc>
          <w:tcPr>
            <w:tcW w:w="1341" w:type="dxa"/>
            <w:tcBorders>
              <w:top w:val="single" w:sz="4" w:space="0" w:color="000000"/>
              <w:left w:val="single" w:sz="4" w:space="0" w:color="000000"/>
              <w:bottom w:val="single" w:sz="4" w:space="0" w:color="000000"/>
              <w:right w:val="single" w:sz="4" w:space="0" w:color="000000"/>
            </w:tcBorders>
          </w:tcPr>
          <w:p w14:paraId="584D9752" w14:textId="1A2FE74C" w:rsidR="006B7BDF" w:rsidRDefault="006B7BDF" w:rsidP="00985146">
            <w:pPr>
              <w:spacing w:after="153" w:line="259" w:lineRule="auto"/>
              <w:ind w:left="2" w:right="0" w:firstLine="0"/>
              <w:rPr>
                <w:rFonts w:ascii="Arial" w:hAnsi="Arial" w:cs="Arial"/>
              </w:rPr>
            </w:pPr>
          </w:p>
        </w:tc>
        <w:tc>
          <w:tcPr>
            <w:tcW w:w="1245" w:type="dxa"/>
            <w:tcBorders>
              <w:top w:val="single" w:sz="4" w:space="0" w:color="000000"/>
              <w:left w:val="single" w:sz="4" w:space="0" w:color="000000"/>
              <w:bottom w:val="single" w:sz="4" w:space="0" w:color="000000"/>
              <w:right w:val="single" w:sz="4" w:space="0" w:color="000000"/>
            </w:tcBorders>
          </w:tcPr>
          <w:p w14:paraId="33B2FC3C" w14:textId="3D276ADD" w:rsidR="006B7BDF" w:rsidRPr="005B6A73" w:rsidRDefault="006B7BDF">
            <w:pPr>
              <w:spacing w:after="0" w:line="259" w:lineRule="auto"/>
              <w:ind w:left="0" w:right="0" w:firstLine="0"/>
              <w:rPr>
                <w:rFonts w:ascii="Arial" w:hAnsi="Arial" w:cs="Arial"/>
              </w:rPr>
            </w:pPr>
          </w:p>
        </w:tc>
        <w:tc>
          <w:tcPr>
            <w:tcW w:w="5045" w:type="dxa"/>
            <w:tcBorders>
              <w:top w:val="single" w:sz="4" w:space="0" w:color="000000"/>
              <w:left w:val="single" w:sz="4" w:space="0" w:color="000000"/>
              <w:bottom w:val="single" w:sz="4" w:space="0" w:color="000000"/>
              <w:right w:val="single" w:sz="4" w:space="0" w:color="000000"/>
            </w:tcBorders>
          </w:tcPr>
          <w:p w14:paraId="74834AAF" w14:textId="46D38F25" w:rsidR="006B7BDF" w:rsidRDefault="006B7BDF">
            <w:pPr>
              <w:spacing w:after="0" w:line="259" w:lineRule="auto"/>
              <w:ind w:left="3" w:right="0" w:firstLine="0"/>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Pr>
          <w:p w14:paraId="6BD500F3" w14:textId="1CBAD6EA" w:rsidR="006B7BDF" w:rsidRDefault="006B7BDF">
            <w:pPr>
              <w:spacing w:after="0" w:line="259" w:lineRule="auto"/>
              <w:ind w:left="3" w:right="0" w:firstLine="0"/>
              <w:rPr>
                <w:rFonts w:ascii="Arial" w:hAnsi="Arial" w:cs="Arial"/>
              </w:rPr>
            </w:pPr>
          </w:p>
        </w:tc>
      </w:tr>
    </w:tbl>
    <w:p w14:paraId="61B4BEAF" w14:textId="77777777" w:rsidR="00412D14" w:rsidRDefault="00412D14">
      <w:pPr>
        <w:spacing w:after="158" w:line="259" w:lineRule="auto"/>
        <w:ind w:left="14" w:right="0" w:firstLine="0"/>
        <w:rPr>
          <w:rFonts w:ascii="Arial" w:hAnsi="Arial" w:cs="Arial"/>
        </w:rPr>
      </w:pPr>
    </w:p>
    <w:p w14:paraId="6E042E17" w14:textId="77777777" w:rsidR="00412D14" w:rsidRDefault="00412D14">
      <w:pPr>
        <w:spacing w:after="158" w:line="259" w:lineRule="auto"/>
        <w:ind w:left="14" w:right="0" w:firstLine="0"/>
        <w:rPr>
          <w:rFonts w:ascii="Arial" w:hAnsi="Arial" w:cs="Arial"/>
        </w:rPr>
      </w:pPr>
    </w:p>
    <w:p w14:paraId="3169257D" w14:textId="77777777" w:rsidR="00412D14" w:rsidRDefault="00412D14">
      <w:pPr>
        <w:spacing w:after="158" w:line="259" w:lineRule="auto"/>
        <w:ind w:left="14" w:right="0" w:firstLine="0"/>
        <w:rPr>
          <w:rFonts w:ascii="Arial" w:hAnsi="Arial" w:cs="Arial"/>
        </w:rPr>
      </w:pPr>
    </w:p>
    <w:p w14:paraId="29CFED13" w14:textId="77777777" w:rsidR="00CC54FD" w:rsidRPr="00610C28" w:rsidRDefault="00752B4C">
      <w:pPr>
        <w:spacing w:after="158" w:line="259" w:lineRule="auto"/>
        <w:ind w:left="14" w:right="0" w:firstLine="0"/>
        <w:rPr>
          <w:rFonts w:ascii="Arial" w:hAnsi="Arial" w:cs="Arial"/>
        </w:rPr>
      </w:pPr>
      <w:r w:rsidRPr="00610C28">
        <w:rPr>
          <w:rFonts w:ascii="Arial" w:hAnsi="Arial" w:cs="Arial"/>
        </w:rPr>
        <w:t xml:space="preserve"> </w:t>
      </w:r>
    </w:p>
    <w:p w14:paraId="28C6C261" w14:textId="77777777" w:rsidR="00CC54FD" w:rsidRDefault="00752B4C">
      <w:pPr>
        <w:spacing w:after="158" w:line="259" w:lineRule="auto"/>
        <w:ind w:left="14" w:right="0" w:firstLine="0"/>
      </w:pPr>
      <w:r>
        <w:t xml:space="preserve"> </w:t>
      </w:r>
    </w:p>
    <w:p w14:paraId="6C1BB9DC" w14:textId="77777777" w:rsidR="00CC54FD" w:rsidRDefault="00752B4C">
      <w:pPr>
        <w:spacing w:after="247" w:line="259" w:lineRule="auto"/>
        <w:ind w:left="14" w:right="0" w:firstLine="0"/>
      </w:pPr>
      <w:r>
        <w:t xml:space="preserve"> </w:t>
      </w:r>
    </w:p>
    <w:p w14:paraId="7EB616B8" w14:textId="77777777" w:rsidR="00CC54FD" w:rsidRDefault="00752B4C">
      <w:pPr>
        <w:spacing w:after="0" w:line="369" w:lineRule="auto"/>
        <w:ind w:left="4527" w:right="4763" w:firstLine="0"/>
        <w:jc w:val="both"/>
      </w:pPr>
      <w:r>
        <w:rPr>
          <w:b/>
          <w:sz w:val="28"/>
        </w:rPr>
        <w:t xml:space="preserve">         </w:t>
      </w:r>
    </w:p>
    <w:p w14:paraId="2A927CF8" w14:textId="77777777" w:rsidR="00CC54FD" w:rsidRDefault="00752B4C">
      <w:pPr>
        <w:spacing w:after="0" w:line="370" w:lineRule="auto"/>
        <w:ind w:left="4527" w:right="4763" w:firstLine="0"/>
        <w:jc w:val="both"/>
      </w:pPr>
      <w:r>
        <w:rPr>
          <w:b/>
          <w:sz w:val="28"/>
        </w:rPr>
        <w:t xml:space="preserve">  </w:t>
      </w:r>
    </w:p>
    <w:p w14:paraId="50D0EDC4" w14:textId="77777777" w:rsidR="00CC54FD" w:rsidRDefault="00752B4C">
      <w:pPr>
        <w:spacing w:after="158" w:line="259" w:lineRule="auto"/>
        <w:ind w:left="0" w:right="4763" w:firstLine="0"/>
        <w:jc w:val="right"/>
      </w:pPr>
      <w:r>
        <w:rPr>
          <w:b/>
          <w:sz w:val="28"/>
        </w:rPr>
        <w:t xml:space="preserve"> </w:t>
      </w:r>
    </w:p>
    <w:p w14:paraId="7A3E5077" w14:textId="77777777" w:rsidR="00AA3956" w:rsidRDefault="00AA3956">
      <w:pPr>
        <w:spacing w:after="2" w:line="368" w:lineRule="auto"/>
        <w:ind w:left="4527" w:right="4763" w:firstLine="0"/>
        <w:jc w:val="both"/>
        <w:rPr>
          <w:b/>
          <w:sz w:val="28"/>
        </w:rPr>
      </w:pPr>
    </w:p>
    <w:p w14:paraId="43A1E462" w14:textId="77777777" w:rsidR="00AA3956" w:rsidRDefault="00AA3956">
      <w:pPr>
        <w:spacing w:after="2" w:line="368" w:lineRule="auto"/>
        <w:ind w:left="4527" w:right="4763" w:firstLine="0"/>
        <w:jc w:val="both"/>
        <w:rPr>
          <w:b/>
          <w:sz w:val="28"/>
        </w:rPr>
      </w:pPr>
    </w:p>
    <w:p w14:paraId="34C366E2" w14:textId="77777777" w:rsidR="00AA3956" w:rsidRDefault="00AA3956">
      <w:pPr>
        <w:spacing w:after="2" w:line="368" w:lineRule="auto"/>
        <w:ind w:left="4527" w:right="4763" w:firstLine="0"/>
        <w:jc w:val="both"/>
        <w:rPr>
          <w:b/>
          <w:sz w:val="28"/>
        </w:rPr>
      </w:pPr>
    </w:p>
    <w:p w14:paraId="474EB96D" w14:textId="77777777" w:rsidR="00AA3956" w:rsidRDefault="00AA3956">
      <w:pPr>
        <w:spacing w:after="2" w:line="368" w:lineRule="auto"/>
        <w:ind w:left="4527" w:right="4763" w:firstLine="0"/>
        <w:jc w:val="both"/>
        <w:rPr>
          <w:b/>
          <w:sz w:val="28"/>
        </w:rPr>
      </w:pPr>
    </w:p>
    <w:p w14:paraId="322C75D2" w14:textId="77777777" w:rsidR="00AA3956" w:rsidRDefault="00AA3956">
      <w:pPr>
        <w:spacing w:after="2" w:line="368" w:lineRule="auto"/>
        <w:ind w:left="4527" w:right="4763" w:firstLine="0"/>
        <w:jc w:val="both"/>
        <w:rPr>
          <w:b/>
          <w:sz w:val="28"/>
        </w:rPr>
      </w:pPr>
    </w:p>
    <w:p w14:paraId="6EB0D05A" w14:textId="77777777" w:rsidR="00AA3956" w:rsidRDefault="00AA3956">
      <w:pPr>
        <w:spacing w:after="2" w:line="368" w:lineRule="auto"/>
        <w:ind w:left="4527" w:right="4763" w:firstLine="0"/>
        <w:jc w:val="both"/>
        <w:rPr>
          <w:b/>
          <w:sz w:val="28"/>
        </w:rPr>
      </w:pPr>
    </w:p>
    <w:p w14:paraId="3AC16B9D" w14:textId="77777777" w:rsidR="00CC54FD" w:rsidRDefault="00752B4C">
      <w:pPr>
        <w:spacing w:after="0" w:line="370" w:lineRule="auto"/>
        <w:ind w:left="4527" w:right="4763" w:firstLine="0"/>
        <w:jc w:val="both"/>
      </w:pPr>
      <w:r>
        <w:rPr>
          <w:b/>
          <w:sz w:val="28"/>
        </w:rPr>
        <w:t xml:space="preserve"> </w:t>
      </w:r>
    </w:p>
    <w:p w14:paraId="294A3CE1" w14:textId="77777777" w:rsidR="00CC54FD" w:rsidRPr="00805627" w:rsidRDefault="00752B4C">
      <w:pPr>
        <w:pStyle w:val="Heading1"/>
        <w:ind w:left="9"/>
        <w:rPr>
          <w:rFonts w:ascii="Arial" w:hAnsi="Arial" w:cs="Arial"/>
        </w:rPr>
      </w:pPr>
      <w:r w:rsidRPr="00805627">
        <w:rPr>
          <w:rFonts w:ascii="Arial" w:hAnsi="Arial" w:cs="Arial"/>
        </w:rPr>
        <w:lastRenderedPageBreak/>
        <w:t xml:space="preserve">Context </w:t>
      </w:r>
    </w:p>
    <w:p w14:paraId="5F68881F" w14:textId="77777777" w:rsidR="00CC54FD" w:rsidRPr="00805627" w:rsidRDefault="00752B4C">
      <w:pPr>
        <w:pStyle w:val="Heading1"/>
        <w:ind w:left="9"/>
        <w:rPr>
          <w:rFonts w:ascii="Arial" w:hAnsi="Arial" w:cs="Arial"/>
        </w:rPr>
      </w:pPr>
      <w:r w:rsidRPr="00805627">
        <w:rPr>
          <w:rFonts w:ascii="Arial" w:hAnsi="Arial" w:cs="Arial"/>
        </w:rPr>
        <w:t xml:space="preserve">Policy Aim and Objectives </w:t>
      </w:r>
    </w:p>
    <w:p w14:paraId="483AF2DD" w14:textId="442A4A2D" w:rsidR="00CC54FD" w:rsidRPr="00805627" w:rsidRDefault="00752B4C">
      <w:pPr>
        <w:ind w:left="10" w:right="301"/>
        <w:rPr>
          <w:rFonts w:ascii="Arial" w:hAnsi="Arial" w:cs="Arial"/>
        </w:rPr>
      </w:pPr>
      <w:r w:rsidRPr="00805627">
        <w:rPr>
          <w:rFonts w:ascii="Arial" w:hAnsi="Arial" w:cs="Arial"/>
        </w:rPr>
        <w:t xml:space="preserve">The Subcontracting Fees and Charges Policy is a requirement of the </w:t>
      </w:r>
      <w:r w:rsidR="00B6337B">
        <w:rPr>
          <w:rFonts w:ascii="Arial" w:hAnsi="Arial" w:cs="Arial"/>
        </w:rPr>
        <w:t xml:space="preserve">Department. </w:t>
      </w:r>
      <w:r w:rsidRPr="00805627">
        <w:rPr>
          <w:rFonts w:ascii="Arial" w:hAnsi="Arial" w:cs="Arial"/>
        </w:rPr>
        <w:t>This policy sets out the rationale for working within sub-contractor arrangements and the approach taken by Futures to determine the fees and charges expected within such work. This applies to its funded provision through the</w:t>
      </w:r>
      <w:r w:rsidR="00A24BBE">
        <w:rPr>
          <w:rFonts w:ascii="Arial" w:hAnsi="Arial" w:cs="Arial"/>
        </w:rPr>
        <w:t xml:space="preserve"> </w:t>
      </w:r>
      <w:r w:rsidR="00B6337B">
        <w:rPr>
          <w:rFonts w:ascii="Arial" w:hAnsi="Arial" w:cs="Arial"/>
        </w:rPr>
        <w:t>Department</w:t>
      </w:r>
      <w:r w:rsidRPr="00805627">
        <w:rPr>
          <w:rFonts w:ascii="Arial" w:hAnsi="Arial" w:cs="Arial"/>
        </w:rPr>
        <w:t xml:space="preserve">.  </w:t>
      </w:r>
    </w:p>
    <w:p w14:paraId="1883EDD1" w14:textId="736DF9D2" w:rsidR="00CC54FD" w:rsidRPr="00805627" w:rsidRDefault="00752B4C">
      <w:pPr>
        <w:ind w:left="10" w:right="301"/>
        <w:rPr>
          <w:rFonts w:ascii="Arial" w:hAnsi="Arial" w:cs="Arial"/>
        </w:rPr>
      </w:pPr>
      <w:r w:rsidRPr="00805627">
        <w:rPr>
          <w:rFonts w:ascii="Arial" w:hAnsi="Arial" w:cs="Arial"/>
        </w:rPr>
        <w:t xml:space="preserve">Futures is committed to contributing towards the provision of </w:t>
      </w:r>
      <w:r w:rsidR="00021C60" w:rsidRPr="00805627">
        <w:rPr>
          <w:rFonts w:ascii="Arial" w:hAnsi="Arial" w:cs="Arial"/>
        </w:rPr>
        <w:t>high-quality</w:t>
      </w:r>
      <w:r w:rsidRPr="00805627">
        <w:rPr>
          <w:rFonts w:ascii="Arial" w:hAnsi="Arial" w:cs="Arial"/>
        </w:rPr>
        <w:t xml:space="preserve"> teaching and learning. The </w:t>
      </w:r>
      <w:r w:rsidR="00B6337B">
        <w:rPr>
          <w:rFonts w:ascii="Arial" w:hAnsi="Arial" w:cs="Arial"/>
        </w:rPr>
        <w:t xml:space="preserve">Department </w:t>
      </w:r>
      <w:r w:rsidRPr="00805627">
        <w:rPr>
          <w:rFonts w:ascii="Arial" w:hAnsi="Arial" w:cs="Arial"/>
        </w:rPr>
        <w:t xml:space="preserve">requires that this policy contributes towards improving the quality of sub-contractor teaching and learning as well as the fees charged for </w:t>
      </w:r>
      <w:r w:rsidR="00021C60" w:rsidRPr="00805627">
        <w:rPr>
          <w:rFonts w:ascii="Arial" w:hAnsi="Arial" w:cs="Arial"/>
        </w:rPr>
        <w:t>this,</w:t>
      </w:r>
      <w:r w:rsidRPr="00805627">
        <w:rPr>
          <w:rFonts w:ascii="Arial" w:hAnsi="Arial" w:cs="Arial"/>
        </w:rPr>
        <w:t xml:space="preserve"> and the services provided in return for such fees.  </w:t>
      </w:r>
    </w:p>
    <w:p w14:paraId="18472320" w14:textId="77777777" w:rsidR="00CC54FD" w:rsidRPr="00805627" w:rsidRDefault="00752B4C">
      <w:pPr>
        <w:ind w:left="10" w:right="301"/>
        <w:rPr>
          <w:rFonts w:ascii="Arial" w:hAnsi="Arial" w:cs="Arial"/>
        </w:rPr>
      </w:pPr>
      <w:r w:rsidRPr="00805627">
        <w:rPr>
          <w:rFonts w:ascii="Arial" w:hAnsi="Arial" w:cs="Arial"/>
        </w:rPr>
        <w:t xml:space="preserve">The percentage range of fees retained by Futures as a management fee as detailed in this policy are typical figures based on a ‘base cost’. These are subject to the addition of a ‘general’ risk factor and where appropriate a ‘specific’ risk factor. Fees and charges are to be changed in accordance with funding bodies/government policy.  </w:t>
      </w:r>
    </w:p>
    <w:p w14:paraId="7C1B3EF0" w14:textId="256C6CB4" w:rsidR="00CC54FD" w:rsidRPr="00805627" w:rsidRDefault="00752B4C">
      <w:pPr>
        <w:ind w:left="10" w:right="301"/>
        <w:rPr>
          <w:rFonts w:ascii="Arial" w:hAnsi="Arial" w:cs="Arial"/>
        </w:rPr>
      </w:pPr>
      <w:r w:rsidRPr="00805627">
        <w:rPr>
          <w:rFonts w:ascii="Arial" w:hAnsi="Arial" w:cs="Arial"/>
        </w:rPr>
        <w:t>This policy is directly influenced by the guidance issued by the</w:t>
      </w:r>
      <w:r w:rsidR="00A24BBE">
        <w:rPr>
          <w:rFonts w:ascii="Arial" w:hAnsi="Arial" w:cs="Arial"/>
        </w:rPr>
        <w:t xml:space="preserve"> </w:t>
      </w:r>
      <w:r w:rsidR="00B6337B">
        <w:rPr>
          <w:rFonts w:ascii="Arial" w:hAnsi="Arial" w:cs="Arial"/>
        </w:rPr>
        <w:t>Department</w:t>
      </w:r>
      <w:r w:rsidRPr="00805627">
        <w:rPr>
          <w:rFonts w:ascii="Arial" w:hAnsi="Arial" w:cs="Arial"/>
        </w:rPr>
        <w:t>. Both Futures and their sub</w:t>
      </w:r>
      <w:r w:rsidR="0075589B">
        <w:rPr>
          <w:rFonts w:ascii="Arial" w:hAnsi="Arial" w:cs="Arial"/>
        </w:rPr>
        <w:t>-</w:t>
      </w:r>
      <w:r w:rsidRPr="00805627">
        <w:rPr>
          <w:rFonts w:ascii="Arial" w:hAnsi="Arial" w:cs="Arial"/>
        </w:rPr>
        <w:t xml:space="preserve">contractors refer to the </w:t>
      </w:r>
      <w:r w:rsidR="00B6337B">
        <w:rPr>
          <w:rFonts w:ascii="Arial" w:hAnsi="Arial" w:cs="Arial"/>
        </w:rPr>
        <w:t>Departments</w:t>
      </w:r>
      <w:r w:rsidR="00B6337B" w:rsidRPr="00805627">
        <w:rPr>
          <w:rFonts w:ascii="Arial" w:hAnsi="Arial" w:cs="Arial"/>
        </w:rPr>
        <w:t xml:space="preserve"> </w:t>
      </w:r>
      <w:r w:rsidRPr="00805627">
        <w:rPr>
          <w:rFonts w:ascii="Arial" w:hAnsi="Arial" w:cs="Arial"/>
        </w:rPr>
        <w:t xml:space="preserve">Funding Rules documents and any future updates in all matters regarding the delivery of the contract.  </w:t>
      </w:r>
    </w:p>
    <w:p w14:paraId="3C4A85DB" w14:textId="77777777" w:rsidR="00CC54FD" w:rsidRPr="00805627" w:rsidRDefault="00752B4C">
      <w:pPr>
        <w:spacing w:after="160" w:line="259" w:lineRule="auto"/>
        <w:ind w:left="14" w:right="0" w:firstLine="0"/>
        <w:rPr>
          <w:rFonts w:ascii="Arial" w:hAnsi="Arial" w:cs="Arial"/>
        </w:rPr>
      </w:pPr>
      <w:r w:rsidRPr="00805627">
        <w:rPr>
          <w:rFonts w:ascii="Arial" w:hAnsi="Arial" w:cs="Arial"/>
        </w:rPr>
        <w:t xml:space="preserve">  </w:t>
      </w:r>
    </w:p>
    <w:p w14:paraId="11FE0864" w14:textId="77777777" w:rsidR="00CC54FD" w:rsidRPr="00805627" w:rsidRDefault="00752B4C">
      <w:pPr>
        <w:pStyle w:val="Heading1"/>
        <w:ind w:left="9"/>
        <w:rPr>
          <w:rFonts w:ascii="Arial" w:hAnsi="Arial" w:cs="Arial"/>
        </w:rPr>
      </w:pPr>
      <w:r w:rsidRPr="00805627">
        <w:rPr>
          <w:rFonts w:ascii="Arial" w:hAnsi="Arial" w:cs="Arial"/>
        </w:rPr>
        <w:t xml:space="preserve">Definitions  </w:t>
      </w:r>
    </w:p>
    <w:p w14:paraId="59949208" w14:textId="77777777" w:rsidR="00CC54FD" w:rsidRPr="00805627" w:rsidRDefault="00752B4C">
      <w:pPr>
        <w:ind w:left="10" w:right="301"/>
        <w:rPr>
          <w:rFonts w:ascii="Arial" w:hAnsi="Arial" w:cs="Arial"/>
        </w:rPr>
      </w:pPr>
      <w:r w:rsidRPr="00805627">
        <w:rPr>
          <w:rFonts w:ascii="Arial" w:hAnsi="Arial" w:cs="Arial"/>
        </w:rPr>
        <w:t>Sub</w:t>
      </w:r>
      <w:r w:rsidR="0075589B">
        <w:rPr>
          <w:rFonts w:ascii="Arial" w:hAnsi="Arial" w:cs="Arial"/>
        </w:rPr>
        <w:t>-</w:t>
      </w:r>
      <w:r w:rsidRPr="00805627">
        <w:rPr>
          <w:rFonts w:ascii="Arial" w:hAnsi="Arial" w:cs="Arial"/>
        </w:rPr>
        <w:t xml:space="preserve">contractors – refers to all other providers delivering education or training on behalf of Futures.   </w:t>
      </w:r>
    </w:p>
    <w:p w14:paraId="33B33578" w14:textId="77777777" w:rsidR="00CC54FD" w:rsidRPr="00805627" w:rsidRDefault="00752B4C">
      <w:pPr>
        <w:ind w:left="10" w:right="301"/>
        <w:rPr>
          <w:rFonts w:ascii="Arial" w:hAnsi="Arial" w:cs="Arial"/>
        </w:rPr>
      </w:pPr>
      <w:r w:rsidRPr="00805627">
        <w:rPr>
          <w:rFonts w:ascii="Arial" w:hAnsi="Arial" w:cs="Arial"/>
        </w:rPr>
        <w:t>Learner – anyone undertaking a learning programme that is delivered by a partner through a sub</w:t>
      </w:r>
      <w:r w:rsidR="0075589B">
        <w:rPr>
          <w:rFonts w:ascii="Arial" w:hAnsi="Arial" w:cs="Arial"/>
        </w:rPr>
        <w:t>-</w:t>
      </w:r>
      <w:r w:rsidRPr="00805627">
        <w:rPr>
          <w:rFonts w:ascii="Arial" w:hAnsi="Arial" w:cs="Arial"/>
        </w:rPr>
        <w:t xml:space="preserve">contract with Futures. </w:t>
      </w:r>
    </w:p>
    <w:p w14:paraId="7D16FA08" w14:textId="77777777" w:rsidR="00CC54FD" w:rsidRDefault="00752B4C">
      <w:pPr>
        <w:ind w:left="10" w:right="301"/>
        <w:rPr>
          <w:rFonts w:ascii="Arial" w:hAnsi="Arial" w:cs="Arial"/>
        </w:rPr>
      </w:pPr>
      <w:r w:rsidRPr="00805627">
        <w:rPr>
          <w:rFonts w:ascii="Arial" w:hAnsi="Arial" w:cs="Arial"/>
        </w:rPr>
        <w:t xml:space="preserve">The Parties – Futures and the sub-contractor.  </w:t>
      </w:r>
    </w:p>
    <w:p w14:paraId="3DBFB8EB" w14:textId="1DEF0368" w:rsidR="00B553EC" w:rsidRPr="00805627" w:rsidRDefault="00B553EC" w:rsidP="00B553EC">
      <w:pPr>
        <w:rPr>
          <w:rFonts w:ascii="Arial" w:hAnsi="Arial" w:cs="Arial"/>
        </w:rPr>
      </w:pPr>
      <w:r>
        <w:rPr>
          <w:rFonts w:ascii="Arial" w:hAnsi="Arial" w:cs="Arial"/>
        </w:rPr>
        <w:t xml:space="preserve">Department - </w:t>
      </w:r>
      <w:r w:rsidRPr="00B553EC">
        <w:rPr>
          <w:rFonts w:ascii="Arial" w:hAnsi="Arial" w:cs="Arial"/>
        </w:rPr>
        <w:t>means the Secretary of State for Education acting through the Department for Education and / or Education and Skills Funding Agency (ESFA) as appropriate.</w:t>
      </w:r>
    </w:p>
    <w:p w14:paraId="75830302" w14:textId="77777777" w:rsidR="00CC54FD" w:rsidRPr="00805627" w:rsidRDefault="00752B4C">
      <w:pPr>
        <w:spacing w:after="155" w:line="259" w:lineRule="auto"/>
        <w:ind w:left="14" w:right="0" w:firstLine="0"/>
        <w:rPr>
          <w:rFonts w:ascii="Arial" w:hAnsi="Arial" w:cs="Arial"/>
        </w:rPr>
      </w:pPr>
      <w:r w:rsidRPr="00805627">
        <w:rPr>
          <w:rFonts w:ascii="Arial" w:hAnsi="Arial" w:cs="Arial"/>
        </w:rPr>
        <w:t xml:space="preserve">  </w:t>
      </w:r>
    </w:p>
    <w:p w14:paraId="3E17588A" w14:textId="77777777" w:rsidR="00CC54FD" w:rsidRPr="00805627" w:rsidRDefault="00752B4C">
      <w:pPr>
        <w:pStyle w:val="Heading1"/>
        <w:ind w:left="9"/>
        <w:rPr>
          <w:rFonts w:ascii="Arial" w:hAnsi="Arial" w:cs="Arial"/>
        </w:rPr>
      </w:pPr>
      <w:r w:rsidRPr="00805627">
        <w:rPr>
          <w:rFonts w:ascii="Arial" w:hAnsi="Arial" w:cs="Arial"/>
        </w:rPr>
        <w:t xml:space="preserve">Responsibilities  </w:t>
      </w:r>
    </w:p>
    <w:p w14:paraId="20AC86DE" w14:textId="632E49BB" w:rsidR="00CC54FD" w:rsidRPr="00805627" w:rsidRDefault="00752B4C">
      <w:pPr>
        <w:ind w:left="10" w:right="301"/>
        <w:rPr>
          <w:rFonts w:ascii="Arial" w:hAnsi="Arial" w:cs="Arial"/>
        </w:rPr>
      </w:pPr>
      <w:r w:rsidRPr="00805627">
        <w:rPr>
          <w:rFonts w:ascii="Arial" w:hAnsi="Arial" w:cs="Arial"/>
        </w:rPr>
        <w:t>All sub</w:t>
      </w:r>
      <w:r w:rsidR="005260EB">
        <w:rPr>
          <w:rFonts w:ascii="Arial" w:hAnsi="Arial" w:cs="Arial"/>
        </w:rPr>
        <w:t>-</w:t>
      </w:r>
      <w:r w:rsidRPr="00805627">
        <w:rPr>
          <w:rFonts w:ascii="Arial" w:hAnsi="Arial" w:cs="Arial"/>
        </w:rPr>
        <w:t>contractors are required to agree and sign a sub-contracting contract for the provision of services with Futures. Within this contract, all roles and responsibilities are clearly defined</w:t>
      </w:r>
      <w:r w:rsidR="00D77E98">
        <w:rPr>
          <w:rFonts w:ascii="Arial" w:hAnsi="Arial" w:cs="Arial"/>
        </w:rPr>
        <w:t xml:space="preserve"> and contact points identified</w:t>
      </w:r>
      <w:r w:rsidRPr="00805627">
        <w:rPr>
          <w:rFonts w:ascii="Arial" w:hAnsi="Arial" w:cs="Arial"/>
        </w:rPr>
        <w:t xml:space="preserve">.  </w:t>
      </w:r>
    </w:p>
    <w:p w14:paraId="15BEB93C" w14:textId="77777777" w:rsidR="00CC54FD" w:rsidRPr="00805627" w:rsidRDefault="00752B4C">
      <w:pPr>
        <w:spacing w:after="158" w:line="259" w:lineRule="auto"/>
        <w:ind w:left="14" w:right="0" w:firstLine="0"/>
        <w:rPr>
          <w:rFonts w:ascii="Arial" w:hAnsi="Arial" w:cs="Arial"/>
        </w:rPr>
      </w:pPr>
      <w:r w:rsidRPr="00805627">
        <w:rPr>
          <w:rFonts w:ascii="Arial" w:hAnsi="Arial" w:cs="Arial"/>
        </w:rPr>
        <w:t xml:space="preserve">  </w:t>
      </w:r>
    </w:p>
    <w:p w14:paraId="50D4EA51" w14:textId="77777777" w:rsidR="00CC54FD" w:rsidRPr="00805627" w:rsidRDefault="00752B4C">
      <w:pPr>
        <w:pStyle w:val="Heading1"/>
        <w:ind w:left="9"/>
        <w:rPr>
          <w:rFonts w:ascii="Arial" w:hAnsi="Arial" w:cs="Arial"/>
        </w:rPr>
      </w:pPr>
      <w:r w:rsidRPr="00805627">
        <w:rPr>
          <w:rFonts w:ascii="Arial" w:hAnsi="Arial" w:cs="Arial"/>
        </w:rPr>
        <w:t>Sub</w:t>
      </w:r>
      <w:r w:rsidR="005260EB">
        <w:rPr>
          <w:rFonts w:ascii="Arial" w:hAnsi="Arial" w:cs="Arial"/>
        </w:rPr>
        <w:t>-C</w:t>
      </w:r>
      <w:r w:rsidRPr="00805627">
        <w:rPr>
          <w:rFonts w:ascii="Arial" w:hAnsi="Arial" w:cs="Arial"/>
        </w:rPr>
        <w:t xml:space="preserve">ontracting Strategy  </w:t>
      </w:r>
    </w:p>
    <w:p w14:paraId="132E161F" w14:textId="77777777" w:rsidR="00CC54FD" w:rsidRPr="00805627" w:rsidRDefault="00752B4C">
      <w:pPr>
        <w:spacing w:after="198"/>
        <w:ind w:left="10" w:right="301"/>
        <w:rPr>
          <w:rFonts w:ascii="Arial" w:hAnsi="Arial" w:cs="Arial"/>
        </w:rPr>
      </w:pPr>
      <w:r w:rsidRPr="00805627">
        <w:rPr>
          <w:rFonts w:ascii="Arial" w:hAnsi="Arial" w:cs="Arial"/>
        </w:rPr>
        <w:t>Futures aims to maintain a range of partnerships which allows it to access learners that it would not be able to reach under normal circumstances, for instance through geography, course aim or channel. Futures sub</w:t>
      </w:r>
      <w:r w:rsidR="002A2EA7">
        <w:rPr>
          <w:rFonts w:ascii="Arial" w:hAnsi="Arial" w:cs="Arial"/>
        </w:rPr>
        <w:t>-</w:t>
      </w:r>
      <w:r w:rsidRPr="00805627">
        <w:rPr>
          <w:rFonts w:ascii="Arial" w:hAnsi="Arial" w:cs="Arial"/>
        </w:rPr>
        <w:t xml:space="preserve">contracting strategy is revised on an annual basis. Futures will engage with organisations primarily to meet the following objectives:  </w:t>
      </w:r>
    </w:p>
    <w:p w14:paraId="6A135DEE" w14:textId="77777777" w:rsidR="00CC54FD" w:rsidRPr="00805627" w:rsidRDefault="00752B4C">
      <w:pPr>
        <w:numPr>
          <w:ilvl w:val="0"/>
          <w:numId w:val="1"/>
        </w:numPr>
        <w:ind w:right="301" w:hanging="360"/>
        <w:rPr>
          <w:rFonts w:ascii="Arial" w:hAnsi="Arial" w:cs="Arial"/>
        </w:rPr>
      </w:pPr>
      <w:r w:rsidRPr="00805627">
        <w:rPr>
          <w:rFonts w:ascii="Arial" w:hAnsi="Arial" w:cs="Arial"/>
        </w:rPr>
        <w:t xml:space="preserve">To be in line with Government priority targets in learner groups and outcomes  </w:t>
      </w:r>
    </w:p>
    <w:p w14:paraId="040755EC" w14:textId="5A27DE20" w:rsidR="00CC54FD" w:rsidRPr="00805627" w:rsidRDefault="00752B4C">
      <w:pPr>
        <w:numPr>
          <w:ilvl w:val="0"/>
          <w:numId w:val="1"/>
        </w:numPr>
        <w:spacing w:after="81"/>
        <w:ind w:right="301" w:hanging="360"/>
        <w:rPr>
          <w:rFonts w:ascii="Arial" w:hAnsi="Arial" w:cs="Arial"/>
        </w:rPr>
      </w:pPr>
      <w:r w:rsidRPr="00805627">
        <w:rPr>
          <w:rFonts w:ascii="Arial" w:hAnsi="Arial" w:cs="Arial"/>
        </w:rPr>
        <w:lastRenderedPageBreak/>
        <w:t xml:space="preserve">To increase the </w:t>
      </w:r>
      <w:r w:rsidR="008A21C6" w:rsidRPr="00805627">
        <w:rPr>
          <w:rFonts w:ascii="Arial" w:hAnsi="Arial" w:cs="Arial"/>
        </w:rPr>
        <w:t>curriculum,</w:t>
      </w:r>
      <w:r w:rsidRPr="00805627">
        <w:rPr>
          <w:rFonts w:ascii="Arial" w:hAnsi="Arial" w:cs="Arial"/>
        </w:rPr>
        <w:t xml:space="preserve"> offer of Futures, movement into new market sectors</w:t>
      </w:r>
      <w:r w:rsidR="002A2EA7">
        <w:rPr>
          <w:rFonts w:ascii="Arial" w:hAnsi="Arial" w:cs="Arial"/>
        </w:rPr>
        <w:t xml:space="preserve">, movement into new delivery </w:t>
      </w:r>
      <w:r w:rsidR="004C2AA9">
        <w:rPr>
          <w:rFonts w:ascii="Arial" w:hAnsi="Arial" w:cs="Arial"/>
        </w:rPr>
        <w:t>methods.</w:t>
      </w:r>
      <w:r w:rsidRPr="00805627">
        <w:rPr>
          <w:rFonts w:ascii="Arial" w:hAnsi="Arial" w:cs="Arial"/>
        </w:rPr>
        <w:t xml:space="preserve">  </w:t>
      </w:r>
    </w:p>
    <w:p w14:paraId="2877E5C6" w14:textId="501B6E03" w:rsidR="00CC54FD" w:rsidRPr="00805627" w:rsidRDefault="00752B4C">
      <w:pPr>
        <w:numPr>
          <w:ilvl w:val="0"/>
          <w:numId w:val="1"/>
        </w:numPr>
        <w:spacing w:after="59"/>
        <w:ind w:right="301" w:hanging="360"/>
        <w:rPr>
          <w:rFonts w:ascii="Arial" w:hAnsi="Arial" w:cs="Arial"/>
        </w:rPr>
      </w:pPr>
      <w:r w:rsidRPr="00805627">
        <w:rPr>
          <w:rFonts w:ascii="Arial" w:hAnsi="Arial" w:cs="Arial"/>
        </w:rPr>
        <w:t xml:space="preserve">Aim to engage hard to reach learners who do not follow typical routes into </w:t>
      </w:r>
      <w:r w:rsidR="008A21C6" w:rsidRPr="00805627">
        <w:rPr>
          <w:rFonts w:ascii="Arial" w:hAnsi="Arial" w:cs="Arial"/>
        </w:rPr>
        <w:t>education.</w:t>
      </w:r>
      <w:r w:rsidRPr="00805627">
        <w:rPr>
          <w:rFonts w:ascii="Arial" w:hAnsi="Arial" w:cs="Arial"/>
        </w:rPr>
        <w:t xml:space="preserve">  </w:t>
      </w:r>
    </w:p>
    <w:p w14:paraId="6751B1A3" w14:textId="77777777" w:rsidR="00902B2C" w:rsidRDefault="00752B4C">
      <w:pPr>
        <w:numPr>
          <w:ilvl w:val="0"/>
          <w:numId w:val="1"/>
        </w:numPr>
        <w:spacing w:after="52"/>
        <w:ind w:right="301" w:hanging="360"/>
        <w:rPr>
          <w:rFonts w:ascii="Arial" w:hAnsi="Arial" w:cs="Arial"/>
        </w:rPr>
      </w:pPr>
      <w:r w:rsidRPr="00805627">
        <w:rPr>
          <w:rFonts w:ascii="Arial" w:hAnsi="Arial" w:cs="Arial"/>
        </w:rPr>
        <w:t>To build local and national strategic educational relationships</w:t>
      </w:r>
    </w:p>
    <w:p w14:paraId="1AB6A8C2" w14:textId="5D73DFCF" w:rsidR="00CC54FD" w:rsidRPr="00805627" w:rsidRDefault="00EC7759">
      <w:pPr>
        <w:numPr>
          <w:ilvl w:val="0"/>
          <w:numId w:val="1"/>
        </w:numPr>
        <w:spacing w:after="52"/>
        <w:ind w:right="301" w:hanging="360"/>
        <w:rPr>
          <w:rFonts w:ascii="Arial" w:hAnsi="Arial" w:cs="Arial"/>
        </w:rPr>
      </w:pPr>
      <w:r>
        <w:rPr>
          <w:rFonts w:ascii="Arial" w:hAnsi="Arial" w:cs="Arial"/>
        </w:rPr>
        <w:t>Meet the local requirements of the Local Skills Improvement Plans</w:t>
      </w:r>
      <w:r w:rsidR="00906B0C">
        <w:rPr>
          <w:rFonts w:ascii="Arial" w:hAnsi="Arial" w:cs="Arial"/>
        </w:rPr>
        <w:t xml:space="preserve"> and local employment </w:t>
      </w:r>
      <w:r w:rsidR="00D77E98">
        <w:rPr>
          <w:rFonts w:ascii="Arial" w:hAnsi="Arial" w:cs="Arial"/>
        </w:rPr>
        <w:t>needs</w:t>
      </w:r>
      <w:r w:rsidR="00906B0C">
        <w:rPr>
          <w:rFonts w:ascii="Arial" w:hAnsi="Arial" w:cs="Arial"/>
        </w:rPr>
        <w:t>.</w:t>
      </w:r>
      <w:r w:rsidR="00752B4C" w:rsidRPr="00805627">
        <w:rPr>
          <w:rFonts w:ascii="Arial" w:hAnsi="Arial" w:cs="Arial"/>
        </w:rPr>
        <w:t xml:space="preserve">  </w:t>
      </w:r>
    </w:p>
    <w:p w14:paraId="6C74ED6B" w14:textId="77777777" w:rsidR="00DF6E30" w:rsidRDefault="00DF6E30">
      <w:pPr>
        <w:spacing w:after="3"/>
        <w:ind w:left="10" w:right="301"/>
        <w:rPr>
          <w:rFonts w:ascii="Arial" w:hAnsi="Arial" w:cs="Arial"/>
          <w:strike/>
        </w:rPr>
      </w:pPr>
    </w:p>
    <w:p w14:paraId="5CC524FF" w14:textId="0EC08FAD" w:rsidR="00CC54FD" w:rsidRPr="00805627" w:rsidRDefault="00752B4C">
      <w:pPr>
        <w:spacing w:after="3"/>
        <w:ind w:left="10" w:right="301"/>
        <w:rPr>
          <w:rFonts w:ascii="Arial" w:hAnsi="Arial" w:cs="Arial"/>
        </w:rPr>
      </w:pPr>
      <w:r w:rsidRPr="00805627">
        <w:rPr>
          <w:rFonts w:ascii="Arial" w:hAnsi="Arial" w:cs="Arial"/>
        </w:rPr>
        <w:t>Sub</w:t>
      </w:r>
      <w:r w:rsidR="002A2EA7">
        <w:rPr>
          <w:rFonts w:ascii="Arial" w:hAnsi="Arial" w:cs="Arial"/>
        </w:rPr>
        <w:t>-</w:t>
      </w:r>
      <w:r w:rsidRPr="00805627">
        <w:rPr>
          <w:rFonts w:ascii="Arial" w:hAnsi="Arial" w:cs="Arial"/>
        </w:rPr>
        <w:t>contracting organisations will share Futures aspirations through having mutual goals and outcomes that benefit the development of learners, employers, sub</w:t>
      </w:r>
      <w:r w:rsidR="002A2EA7">
        <w:rPr>
          <w:rFonts w:ascii="Arial" w:hAnsi="Arial" w:cs="Arial"/>
        </w:rPr>
        <w:t>-</w:t>
      </w:r>
      <w:r w:rsidR="008A21C6" w:rsidRPr="00805627">
        <w:rPr>
          <w:rFonts w:ascii="Arial" w:hAnsi="Arial" w:cs="Arial"/>
        </w:rPr>
        <w:t>contractors,</w:t>
      </w:r>
      <w:r w:rsidRPr="00805627">
        <w:rPr>
          <w:rFonts w:ascii="Arial" w:hAnsi="Arial" w:cs="Arial"/>
        </w:rPr>
        <w:t xml:space="preserve"> and Futures. </w:t>
      </w:r>
    </w:p>
    <w:p w14:paraId="12291FAF" w14:textId="77777777" w:rsidR="00CC54FD" w:rsidRPr="00805627" w:rsidRDefault="00752B4C">
      <w:pPr>
        <w:spacing w:after="155" w:line="259" w:lineRule="auto"/>
        <w:ind w:left="14" w:right="0" w:firstLine="0"/>
        <w:rPr>
          <w:rFonts w:ascii="Arial" w:hAnsi="Arial" w:cs="Arial"/>
        </w:rPr>
      </w:pPr>
      <w:r w:rsidRPr="00805627">
        <w:rPr>
          <w:rFonts w:ascii="Arial" w:hAnsi="Arial" w:cs="Arial"/>
        </w:rPr>
        <w:t xml:space="preserve">  </w:t>
      </w:r>
    </w:p>
    <w:p w14:paraId="4EB13645" w14:textId="77777777" w:rsidR="00CC54FD" w:rsidRPr="00805627" w:rsidRDefault="004D0464">
      <w:pPr>
        <w:pStyle w:val="Heading1"/>
        <w:ind w:left="9"/>
        <w:rPr>
          <w:rFonts w:ascii="Arial" w:hAnsi="Arial" w:cs="Arial"/>
        </w:rPr>
      </w:pPr>
      <w:r>
        <w:rPr>
          <w:rFonts w:ascii="Arial" w:hAnsi="Arial" w:cs="Arial"/>
        </w:rPr>
        <w:t>Support for Sub</w:t>
      </w:r>
      <w:r w:rsidR="002A2EA7">
        <w:rPr>
          <w:rFonts w:ascii="Arial" w:hAnsi="Arial" w:cs="Arial"/>
        </w:rPr>
        <w:t>-C</w:t>
      </w:r>
      <w:r>
        <w:rPr>
          <w:rFonts w:ascii="Arial" w:hAnsi="Arial" w:cs="Arial"/>
        </w:rPr>
        <w:t xml:space="preserve">ontractors and </w:t>
      </w:r>
      <w:r w:rsidR="00752B4C" w:rsidRPr="00805627">
        <w:rPr>
          <w:rFonts w:ascii="Arial" w:hAnsi="Arial" w:cs="Arial"/>
        </w:rPr>
        <w:t xml:space="preserve">Quality Assurance  </w:t>
      </w:r>
    </w:p>
    <w:p w14:paraId="7F7BC9A8" w14:textId="415DECFA" w:rsidR="00CC54FD" w:rsidRPr="00805627" w:rsidRDefault="00752B4C">
      <w:pPr>
        <w:ind w:left="10" w:right="301"/>
        <w:rPr>
          <w:rFonts w:ascii="Arial" w:hAnsi="Arial" w:cs="Arial"/>
        </w:rPr>
      </w:pPr>
      <w:r w:rsidRPr="00805627">
        <w:rPr>
          <w:rFonts w:ascii="Arial" w:hAnsi="Arial" w:cs="Arial"/>
        </w:rPr>
        <w:t xml:space="preserve">Futures will undertake a thorough </w:t>
      </w:r>
      <w:r w:rsidR="00D23E11">
        <w:rPr>
          <w:rFonts w:ascii="Arial" w:hAnsi="Arial" w:cs="Arial"/>
        </w:rPr>
        <w:t xml:space="preserve">due diligence </w:t>
      </w:r>
      <w:r w:rsidRPr="00805627">
        <w:rPr>
          <w:rFonts w:ascii="Arial" w:hAnsi="Arial" w:cs="Arial"/>
        </w:rPr>
        <w:t>assessment</w:t>
      </w:r>
      <w:r w:rsidR="003644E0">
        <w:rPr>
          <w:rFonts w:ascii="Arial" w:hAnsi="Arial" w:cs="Arial"/>
        </w:rPr>
        <w:t xml:space="preserve"> </w:t>
      </w:r>
      <w:r w:rsidRPr="00805627">
        <w:rPr>
          <w:rFonts w:ascii="Arial" w:hAnsi="Arial" w:cs="Arial"/>
        </w:rPr>
        <w:t>of the sub</w:t>
      </w:r>
      <w:r w:rsidR="0006055B">
        <w:rPr>
          <w:rFonts w:ascii="Arial" w:hAnsi="Arial" w:cs="Arial"/>
        </w:rPr>
        <w:t>-</w:t>
      </w:r>
      <w:r w:rsidRPr="00805627">
        <w:rPr>
          <w:rFonts w:ascii="Arial" w:hAnsi="Arial" w:cs="Arial"/>
        </w:rPr>
        <w:t>contractor prior to contracting</w:t>
      </w:r>
      <w:r w:rsidR="003644E0">
        <w:rPr>
          <w:rFonts w:ascii="Arial" w:hAnsi="Arial" w:cs="Arial"/>
        </w:rPr>
        <w:t xml:space="preserve"> and </w:t>
      </w:r>
      <w:r w:rsidRPr="00805627">
        <w:rPr>
          <w:rFonts w:ascii="Arial" w:hAnsi="Arial" w:cs="Arial"/>
        </w:rPr>
        <w:t>shall share the results with the sub-contractor to inform opportunities for development</w:t>
      </w:r>
      <w:r w:rsidR="00D23E11">
        <w:rPr>
          <w:rFonts w:ascii="Arial" w:hAnsi="Arial" w:cs="Arial"/>
        </w:rPr>
        <w:t xml:space="preserve"> in line with the </w:t>
      </w:r>
      <w:r w:rsidR="00B6337B">
        <w:rPr>
          <w:rFonts w:ascii="Arial" w:hAnsi="Arial" w:cs="Arial"/>
        </w:rPr>
        <w:t xml:space="preserve">Departments </w:t>
      </w:r>
      <w:r w:rsidR="00D23E11">
        <w:rPr>
          <w:rFonts w:ascii="Arial" w:hAnsi="Arial" w:cs="Arial"/>
        </w:rPr>
        <w:t>Subcontracting funding rules</w:t>
      </w:r>
      <w:r w:rsidRPr="00805627">
        <w:rPr>
          <w:rFonts w:ascii="Arial" w:hAnsi="Arial" w:cs="Arial"/>
        </w:rPr>
        <w:t xml:space="preserve">.  </w:t>
      </w:r>
    </w:p>
    <w:p w14:paraId="4AF43501" w14:textId="77777777" w:rsidR="00CC54FD" w:rsidRPr="00805627" w:rsidRDefault="00752B4C">
      <w:pPr>
        <w:spacing w:after="229"/>
        <w:ind w:left="10" w:right="301"/>
        <w:rPr>
          <w:rFonts w:ascii="Arial" w:hAnsi="Arial" w:cs="Arial"/>
        </w:rPr>
      </w:pPr>
      <w:r w:rsidRPr="00805627">
        <w:rPr>
          <w:rFonts w:ascii="Arial" w:hAnsi="Arial" w:cs="Arial"/>
        </w:rPr>
        <w:t xml:space="preserve">During the terms of the contract, as an </w:t>
      </w:r>
      <w:r w:rsidRPr="0006055B">
        <w:rPr>
          <w:rFonts w:ascii="Arial" w:hAnsi="Arial" w:cs="Arial"/>
          <w:b/>
        </w:rPr>
        <w:t>agreed minimum standard</w:t>
      </w:r>
      <w:r w:rsidRPr="00805627">
        <w:rPr>
          <w:rFonts w:ascii="Arial" w:hAnsi="Arial" w:cs="Arial"/>
        </w:rPr>
        <w:t xml:space="preserve">, </w:t>
      </w:r>
      <w:r w:rsidR="0006055B">
        <w:rPr>
          <w:rFonts w:ascii="Arial" w:hAnsi="Arial" w:cs="Arial"/>
        </w:rPr>
        <w:t xml:space="preserve">Futures </w:t>
      </w:r>
      <w:r w:rsidRPr="00805627">
        <w:rPr>
          <w:rFonts w:ascii="Arial" w:hAnsi="Arial" w:cs="Arial"/>
        </w:rPr>
        <w:t>will provide the following services to the sub-contractor in relation to the sub</w:t>
      </w:r>
      <w:r w:rsidR="0006055B">
        <w:rPr>
          <w:rFonts w:ascii="Arial" w:hAnsi="Arial" w:cs="Arial"/>
        </w:rPr>
        <w:t>-</w:t>
      </w:r>
      <w:r w:rsidRPr="00805627">
        <w:rPr>
          <w:rFonts w:ascii="Arial" w:hAnsi="Arial" w:cs="Arial"/>
        </w:rPr>
        <w:t xml:space="preserve">contracted provision:  </w:t>
      </w:r>
    </w:p>
    <w:p w14:paraId="15A254B0" w14:textId="77777777" w:rsidR="00CC54FD" w:rsidRPr="00805627" w:rsidRDefault="00752B4C">
      <w:pPr>
        <w:numPr>
          <w:ilvl w:val="0"/>
          <w:numId w:val="2"/>
        </w:numPr>
        <w:spacing w:after="35"/>
        <w:ind w:right="301" w:hanging="360"/>
        <w:rPr>
          <w:rFonts w:ascii="Arial" w:hAnsi="Arial" w:cs="Arial"/>
        </w:rPr>
      </w:pPr>
      <w:r w:rsidRPr="00805627">
        <w:rPr>
          <w:rFonts w:ascii="Arial" w:hAnsi="Arial" w:cs="Arial"/>
        </w:rPr>
        <w:t xml:space="preserve">Access to existing Futures expertise, as appropriate  </w:t>
      </w:r>
    </w:p>
    <w:p w14:paraId="0F9797F1" w14:textId="4B59186C" w:rsidR="00CC54FD" w:rsidRPr="00805627" w:rsidRDefault="00752B4C">
      <w:pPr>
        <w:numPr>
          <w:ilvl w:val="0"/>
          <w:numId w:val="2"/>
        </w:numPr>
        <w:spacing w:after="69"/>
        <w:ind w:right="301" w:hanging="360"/>
        <w:rPr>
          <w:rFonts w:ascii="Arial" w:hAnsi="Arial" w:cs="Arial"/>
        </w:rPr>
      </w:pPr>
      <w:r w:rsidRPr="00805627">
        <w:rPr>
          <w:rFonts w:ascii="Arial" w:hAnsi="Arial" w:cs="Arial"/>
        </w:rPr>
        <w:t xml:space="preserve">Guidance on the application of funding methodologies that relate to the sub-contracted </w:t>
      </w:r>
      <w:r w:rsidR="000F0041" w:rsidRPr="00805627">
        <w:rPr>
          <w:rFonts w:ascii="Arial" w:hAnsi="Arial" w:cs="Arial"/>
        </w:rPr>
        <w:t>provision.</w:t>
      </w:r>
      <w:r w:rsidRPr="00805627">
        <w:rPr>
          <w:rFonts w:ascii="Arial" w:hAnsi="Arial" w:cs="Arial"/>
        </w:rPr>
        <w:t xml:space="preserve"> </w:t>
      </w:r>
    </w:p>
    <w:p w14:paraId="45ACAE46" w14:textId="77777777" w:rsidR="00CC54FD" w:rsidRPr="00805627" w:rsidRDefault="00752B4C">
      <w:pPr>
        <w:numPr>
          <w:ilvl w:val="0"/>
          <w:numId w:val="2"/>
        </w:numPr>
        <w:spacing w:after="37"/>
        <w:ind w:right="301" w:hanging="360"/>
        <w:rPr>
          <w:rFonts w:ascii="Arial" w:hAnsi="Arial" w:cs="Arial"/>
        </w:rPr>
      </w:pPr>
      <w:r w:rsidRPr="00805627">
        <w:rPr>
          <w:rFonts w:ascii="Arial" w:hAnsi="Arial" w:cs="Arial"/>
        </w:rPr>
        <w:t xml:space="preserve">Guidance on the development and application of an appropriate and robust audit trail  </w:t>
      </w:r>
    </w:p>
    <w:p w14:paraId="0CA69657" w14:textId="77777777" w:rsidR="00CC54FD" w:rsidRPr="00805627" w:rsidRDefault="00752B4C">
      <w:pPr>
        <w:numPr>
          <w:ilvl w:val="0"/>
          <w:numId w:val="2"/>
        </w:numPr>
        <w:spacing w:after="37"/>
        <w:ind w:right="301" w:hanging="360"/>
        <w:rPr>
          <w:rFonts w:ascii="Arial" w:hAnsi="Arial" w:cs="Arial"/>
        </w:rPr>
      </w:pPr>
      <w:r w:rsidRPr="00805627">
        <w:rPr>
          <w:rFonts w:ascii="Arial" w:hAnsi="Arial" w:cs="Arial"/>
        </w:rPr>
        <w:t xml:space="preserve">A performance monitoring service that includes the </w:t>
      </w:r>
      <w:r w:rsidR="00E11F38">
        <w:rPr>
          <w:rFonts w:ascii="Arial" w:hAnsi="Arial" w:cs="Arial"/>
        </w:rPr>
        <w:t xml:space="preserve">regular </w:t>
      </w:r>
      <w:r w:rsidRPr="00805627">
        <w:rPr>
          <w:rFonts w:ascii="Arial" w:hAnsi="Arial" w:cs="Arial"/>
        </w:rPr>
        <w:t xml:space="preserve">sampling, reporting and analysis of:  </w:t>
      </w:r>
    </w:p>
    <w:p w14:paraId="6DE23216" w14:textId="77777777" w:rsidR="00CC54FD" w:rsidRPr="00805627" w:rsidRDefault="00752B4C">
      <w:pPr>
        <w:numPr>
          <w:ilvl w:val="1"/>
          <w:numId w:val="2"/>
        </w:numPr>
        <w:spacing w:after="27"/>
        <w:ind w:right="301" w:hanging="360"/>
        <w:rPr>
          <w:rFonts w:ascii="Arial" w:hAnsi="Arial" w:cs="Arial"/>
        </w:rPr>
      </w:pPr>
      <w:r w:rsidRPr="00805627">
        <w:rPr>
          <w:rFonts w:ascii="Arial" w:hAnsi="Arial" w:cs="Arial"/>
        </w:rPr>
        <w:t xml:space="preserve">Individual standards of delivery and assessment in teaching and learning </w:t>
      </w:r>
    </w:p>
    <w:p w14:paraId="19A875D3" w14:textId="77777777" w:rsidR="00CC54FD" w:rsidRPr="00805627" w:rsidRDefault="00752B4C">
      <w:pPr>
        <w:numPr>
          <w:ilvl w:val="1"/>
          <w:numId w:val="2"/>
        </w:numPr>
        <w:spacing w:after="27"/>
        <w:ind w:right="301" w:hanging="360"/>
        <w:rPr>
          <w:rFonts w:ascii="Arial" w:hAnsi="Arial" w:cs="Arial"/>
        </w:rPr>
      </w:pPr>
      <w:r w:rsidRPr="00805627">
        <w:rPr>
          <w:rFonts w:ascii="Arial" w:hAnsi="Arial" w:cs="Arial"/>
        </w:rPr>
        <w:t xml:space="preserve">Learner and, where appropriate, employer voice </w:t>
      </w:r>
    </w:p>
    <w:p w14:paraId="6EBCCEA1" w14:textId="77777777" w:rsidR="00CC54FD" w:rsidRPr="00805627" w:rsidRDefault="00752B4C">
      <w:pPr>
        <w:numPr>
          <w:ilvl w:val="1"/>
          <w:numId w:val="2"/>
        </w:numPr>
        <w:spacing w:after="28"/>
        <w:ind w:right="301" w:hanging="360"/>
        <w:rPr>
          <w:rFonts w:ascii="Arial" w:hAnsi="Arial" w:cs="Arial"/>
        </w:rPr>
      </w:pPr>
      <w:r w:rsidRPr="00805627">
        <w:rPr>
          <w:rFonts w:ascii="Arial" w:hAnsi="Arial" w:cs="Arial"/>
        </w:rPr>
        <w:t xml:space="preserve">Standards of learner work </w:t>
      </w:r>
    </w:p>
    <w:p w14:paraId="5C4FF26B" w14:textId="3CD05738" w:rsidR="00CC54FD" w:rsidRPr="00805627" w:rsidRDefault="00752B4C">
      <w:pPr>
        <w:numPr>
          <w:ilvl w:val="1"/>
          <w:numId w:val="2"/>
        </w:numPr>
        <w:spacing w:after="25"/>
        <w:ind w:right="301" w:hanging="360"/>
        <w:rPr>
          <w:rFonts w:ascii="Arial" w:hAnsi="Arial" w:cs="Arial"/>
        </w:rPr>
      </w:pPr>
      <w:r w:rsidRPr="00805627">
        <w:rPr>
          <w:rFonts w:ascii="Arial" w:hAnsi="Arial" w:cs="Arial"/>
        </w:rPr>
        <w:t xml:space="preserve">Standards of resourcing to include </w:t>
      </w:r>
      <w:r w:rsidR="000F0041" w:rsidRPr="00805627">
        <w:rPr>
          <w:rFonts w:ascii="Arial" w:hAnsi="Arial" w:cs="Arial"/>
        </w:rPr>
        <w:t>staffing.</w:t>
      </w:r>
      <w:r w:rsidRPr="00805627">
        <w:rPr>
          <w:rFonts w:ascii="Arial" w:hAnsi="Arial" w:cs="Arial"/>
        </w:rPr>
        <w:t xml:space="preserve"> </w:t>
      </w:r>
    </w:p>
    <w:p w14:paraId="0213DD80" w14:textId="77777777" w:rsidR="00CC54FD" w:rsidRPr="00805627" w:rsidRDefault="00752B4C">
      <w:pPr>
        <w:numPr>
          <w:ilvl w:val="1"/>
          <w:numId w:val="2"/>
        </w:numPr>
        <w:spacing w:after="28"/>
        <w:ind w:right="301" w:hanging="360"/>
        <w:rPr>
          <w:rFonts w:ascii="Arial" w:hAnsi="Arial" w:cs="Arial"/>
        </w:rPr>
      </w:pPr>
      <w:r w:rsidRPr="00805627">
        <w:rPr>
          <w:rFonts w:ascii="Arial" w:hAnsi="Arial" w:cs="Arial"/>
        </w:rPr>
        <w:t xml:space="preserve">Learner attendance and progression levels </w:t>
      </w:r>
    </w:p>
    <w:p w14:paraId="4F2516D2" w14:textId="5196B209" w:rsidR="00CC54FD" w:rsidRPr="00805627" w:rsidRDefault="00752B4C">
      <w:pPr>
        <w:numPr>
          <w:ilvl w:val="1"/>
          <w:numId w:val="2"/>
        </w:numPr>
        <w:spacing w:after="25"/>
        <w:ind w:right="301" w:hanging="360"/>
        <w:rPr>
          <w:rFonts w:ascii="Arial" w:hAnsi="Arial" w:cs="Arial"/>
        </w:rPr>
      </w:pPr>
      <w:r w:rsidRPr="00805627">
        <w:rPr>
          <w:rFonts w:ascii="Arial" w:hAnsi="Arial" w:cs="Arial"/>
        </w:rPr>
        <w:t xml:space="preserve">Learner retention, </w:t>
      </w:r>
      <w:r w:rsidR="000F0041" w:rsidRPr="00805627">
        <w:rPr>
          <w:rFonts w:ascii="Arial" w:hAnsi="Arial" w:cs="Arial"/>
        </w:rPr>
        <w:t>achievement,</w:t>
      </w:r>
      <w:r w:rsidRPr="00805627">
        <w:rPr>
          <w:rFonts w:ascii="Arial" w:hAnsi="Arial" w:cs="Arial"/>
        </w:rPr>
        <w:t xml:space="preserve"> and success levels </w:t>
      </w:r>
    </w:p>
    <w:p w14:paraId="5CE94D48" w14:textId="77777777" w:rsidR="00CC54FD" w:rsidRPr="00805627" w:rsidRDefault="00752B4C">
      <w:pPr>
        <w:numPr>
          <w:ilvl w:val="1"/>
          <w:numId w:val="2"/>
        </w:numPr>
        <w:spacing w:after="67"/>
        <w:ind w:right="301" w:hanging="360"/>
        <w:rPr>
          <w:rFonts w:ascii="Arial" w:hAnsi="Arial" w:cs="Arial"/>
        </w:rPr>
      </w:pPr>
      <w:r w:rsidRPr="00805627">
        <w:rPr>
          <w:rFonts w:ascii="Arial" w:hAnsi="Arial" w:cs="Arial"/>
        </w:rPr>
        <w:t>In</w:t>
      </w:r>
      <w:r w:rsidR="0006055B">
        <w:rPr>
          <w:rFonts w:ascii="Arial" w:hAnsi="Arial" w:cs="Arial"/>
        </w:rPr>
        <w:t>ternal and External Moderation/</w:t>
      </w:r>
      <w:r w:rsidRPr="00805627">
        <w:rPr>
          <w:rFonts w:ascii="Arial" w:hAnsi="Arial" w:cs="Arial"/>
        </w:rPr>
        <w:t xml:space="preserve">standardisation strategies  </w:t>
      </w:r>
    </w:p>
    <w:p w14:paraId="7D46AF93" w14:textId="6BF5E423" w:rsidR="00352BE1" w:rsidRDefault="00752B4C" w:rsidP="009001EF">
      <w:pPr>
        <w:numPr>
          <w:ilvl w:val="0"/>
          <w:numId w:val="2"/>
        </w:numPr>
        <w:ind w:right="301" w:hanging="360"/>
        <w:rPr>
          <w:rFonts w:ascii="Arial" w:hAnsi="Arial" w:cs="Arial"/>
        </w:rPr>
      </w:pPr>
      <w:r w:rsidRPr="00352BE1">
        <w:rPr>
          <w:rFonts w:ascii="Arial" w:hAnsi="Arial" w:cs="Arial"/>
        </w:rPr>
        <w:t xml:space="preserve">Compliance management service for the collation, </w:t>
      </w:r>
      <w:r w:rsidR="000F0041" w:rsidRPr="00352BE1">
        <w:rPr>
          <w:rFonts w:ascii="Arial" w:hAnsi="Arial" w:cs="Arial"/>
        </w:rPr>
        <w:t>verification,</w:t>
      </w:r>
      <w:r w:rsidRPr="00352BE1">
        <w:rPr>
          <w:rFonts w:ascii="Arial" w:hAnsi="Arial" w:cs="Arial"/>
        </w:rPr>
        <w:t xml:space="preserve"> and processing of evidence in relation t</w:t>
      </w:r>
      <w:r w:rsidR="00352BE1">
        <w:rPr>
          <w:rFonts w:ascii="Arial" w:hAnsi="Arial" w:cs="Arial"/>
        </w:rPr>
        <w:t>o the correct claim of funding</w:t>
      </w:r>
    </w:p>
    <w:p w14:paraId="1BCA943D" w14:textId="5EF7076C" w:rsidR="0033704E" w:rsidRDefault="0033704E" w:rsidP="009001EF">
      <w:pPr>
        <w:numPr>
          <w:ilvl w:val="0"/>
          <w:numId w:val="2"/>
        </w:numPr>
        <w:ind w:right="301" w:hanging="360"/>
        <w:rPr>
          <w:rFonts w:ascii="Arial" w:hAnsi="Arial" w:cs="Arial"/>
        </w:rPr>
      </w:pPr>
      <w:r>
        <w:rPr>
          <w:rFonts w:ascii="Arial" w:hAnsi="Arial" w:cs="Arial"/>
        </w:rPr>
        <w:t xml:space="preserve">Training and mentoring for all relevant staff in completion of compliant paperwork and </w:t>
      </w:r>
      <w:r w:rsidR="00021C60">
        <w:rPr>
          <w:rFonts w:ascii="Arial" w:hAnsi="Arial" w:cs="Arial"/>
        </w:rPr>
        <w:t>processes.</w:t>
      </w:r>
    </w:p>
    <w:p w14:paraId="45A5A91F" w14:textId="340ACCC3" w:rsidR="00352BE1" w:rsidRDefault="000F0041" w:rsidP="009001EF">
      <w:pPr>
        <w:numPr>
          <w:ilvl w:val="0"/>
          <w:numId w:val="2"/>
        </w:numPr>
        <w:ind w:right="301" w:hanging="360"/>
        <w:rPr>
          <w:rFonts w:ascii="Arial" w:hAnsi="Arial" w:cs="Arial"/>
        </w:rPr>
      </w:pPr>
      <w:r>
        <w:rPr>
          <w:rFonts w:ascii="Arial" w:hAnsi="Arial" w:cs="Arial"/>
        </w:rPr>
        <w:t xml:space="preserve">Weekly and monthly </w:t>
      </w:r>
      <w:r w:rsidR="00352BE1" w:rsidRPr="00352BE1">
        <w:rPr>
          <w:rFonts w:ascii="Arial" w:hAnsi="Arial" w:cs="Arial"/>
        </w:rPr>
        <w:t xml:space="preserve">meetings with Futures </w:t>
      </w:r>
      <w:r w:rsidR="00352BE1">
        <w:rPr>
          <w:rFonts w:ascii="Arial" w:hAnsi="Arial" w:cs="Arial"/>
        </w:rPr>
        <w:t xml:space="preserve">regarding performance management - quality and compliance focused </w:t>
      </w:r>
      <w:r>
        <w:rPr>
          <w:rFonts w:ascii="Arial" w:hAnsi="Arial" w:cs="Arial"/>
        </w:rPr>
        <w:t>to</w:t>
      </w:r>
      <w:r w:rsidR="00352BE1">
        <w:rPr>
          <w:rFonts w:ascii="Arial" w:hAnsi="Arial" w:cs="Arial"/>
        </w:rPr>
        <w:t xml:space="preserve"> mitigate any risks related to the sub-contracted provision</w:t>
      </w:r>
      <w:r w:rsidR="00D23E11">
        <w:rPr>
          <w:rFonts w:ascii="Arial" w:hAnsi="Arial" w:cs="Arial"/>
        </w:rPr>
        <w:t>.</w:t>
      </w:r>
      <w:r w:rsidR="000E383A">
        <w:rPr>
          <w:rFonts w:ascii="Arial" w:hAnsi="Arial" w:cs="Arial"/>
        </w:rPr>
        <w:t xml:space="preserve"> </w:t>
      </w:r>
      <w:r w:rsidR="00D23E11">
        <w:rPr>
          <w:rFonts w:ascii="Arial" w:hAnsi="Arial" w:cs="Arial"/>
        </w:rPr>
        <w:t>Sub-contractors will be subject to the same KPIs as implemented internally, relating to retention, achievement, positive progressions and teaching, learning and assessment, to ensure consistency and fairness of approach</w:t>
      </w:r>
      <w:r w:rsidR="00021C60">
        <w:rPr>
          <w:rFonts w:ascii="Arial" w:hAnsi="Arial" w:cs="Arial"/>
        </w:rPr>
        <w:t xml:space="preserve">, in accordance </w:t>
      </w:r>
      <w:r>
        <w:rPr>
          <w:rFonts w:ascii="Arial" w:hAnsi="Arial" w:cs="Arial"/>
        </w:rPr>
        <w:t>with</w:t>
      </w:r>
      <w:r w:rsidR="00021C60">
        <w:rPr>
          <w:rFonts w:ascii="Arial" w:hAnsi="Arial" w:cs="Arial"/>
        </w:rPr>
        <w:t xml:space="preserve"> the Contract Management Framework.</w:t>
      </w:r>
      <w:r w:rsidR="00D23E11">
        <w:rPr>
          <w:rFonts w:ascii="Arial" w:hAnsi="Arial" w:cs="Arial"/>
        </w:rPr>
        <w:t xml:space="preserve"> </w:t>
      </w:r>
    </w:p>
    <w:p w14:paraId="4C7EF377" w14:textId="1705AEA8" w:rsidR="000F0041" w:rsidRDefault="000F0041" w:rsidP="009001EF">
      <w:pPr>
        <w:numPr>
          <w:ilvl w:val="0"/>
          <w:numId w:val="2"/>
        </w:numPr>
        <w:ind w:right="301" w:hanging="360"/>
        <w:rPr>
          <w:rFonts w:ascii="Arial" w:hAnsi="Arial" w:cs="Arial"/>
        </w:rPr>
      </w:pPr>
      <w:r>
        <w:rPr>
          <w:rFonts w:ascii="Arial" w:hAnsi="Arial" w:cs="Arial"/>
        </w:rPr>
        <w:t>Training for sub-contractors around enrolment paperwork and access to all forms</w:t>
      </w:r>
      <w:r w:rsidR="00B6337B">
        <w:rPr>
          <w:rFonts w:ascii="Arial" w:hAnsi="Arial" w:cs="Arial"/>
        </w:rPr>
        <w:t xml:space="preserve"> needed.</w:t>
      </w:r>
    </w:p>
    <w:p w14:paraId="7F55F69B" w14:textId="77777777" w:rsidR="00CC54FD" w:rsidRPr="00805627" w:rsidRDefault="00752B4C">
      <w:pPr>
        <w:spacing w:after="225"/>
        <w:ind w:left="10" w:right="301"/>
        <w:rPr>
          <w:rFonts w:ascii="Arial" w:hAnsi="Arial" w:cs="Arial"/>
        </w:rPr>
      </w:pPr>
      <w:r w:rsidRPr="00805627">
        <w:rPr>
          <w:rFonts w:ascii="Arial" w:hAnsi="Arial" w:cs="Arial"/>
        </w:rPr>
        <w:lastRenderedPageBreak/>
        <w:t xml:space="preserve">Services that are available to the sub-contractor that are </w:t>
      </w:r>
      <w:r w:rsidRPr="0006055B">
        <w:rPr>
          <w:rFonts w:ascii="Arial" w:hAnsi="Arial" w:cs="Arial"/>
          <w:b/>
        </w:rPr>
        <w:t>additional to the agreed minimum level of service</w:t>
      </w:r>
      <w:r w:rsidRPr="00805627">
        <w:rPr>
          <w:rFonts w:ascii="Arial" w:hAnsi="Arial" w:cs="Arial"/>
        </w:rPr>
        <w:t xml:space="preserve"> may include but are not limited to:  </w:t>
      </w:r>
    </w:p>
    <w:p w14:paraId="1FE28B2D" w14:textId="55AD9AD0" w:rsidR="00CC54FD" w:rsidRPr="00805627" w:rsidRDefault="00752B4C">
      <w:pPr>
        <w:numPr>
          <w:ilvl w:val="0"/>
          <w:numId w:val="2"/>
        </w:numPr>
        <w:spacing w:after="64"/>
        <w:ind w:right="301" w:hanging="360"/>
        <w:rPr>
          <w:rFonts w:ascii="Arial" w:hAnsi="Arial" w:cs="Arial"/>
        </w:rPr>
      </w:pPr>
      <w:r w:rsidRPr="00805627">
        <w:rPr>
          <w:rFonts w:ascii="Arial" w:hAnsi="Arial" w:cs="Arial"/>
        </w:rPr>
        <w:t xml:space="preserve">Provision of a Futures centre approval facility to include learner registration and </w:t>
      </w:r>
      <w:r w:rsidR="00021C60" w:rsidRPr="00805627">
        <w:rPr>
          <w:rFonts w:ascii="Arial" w:hAnsi="Arial" w:cs="Arial"/>
        </w:rPr>
        <w:t>certification.</w:t>
      </w:r>
      <w:r w:rsidRPr="00805627">
        <w:rPr>
          <w:rFonts w:ascii="Arial" w:hAnsi="Arial" w:cs="Arial"/>
        </w:rPr>
        <w:t xml:space="preserve">  </w:t>
      </w:r>
    </w:p>
    <w:p w14:paraId="5102025B" w14:textId="77777777" w:rsidR="00CC54FD" w:rsidRPr="00805627" w:rsidRDefault="00752B4C">
      <w:pPr>
        <w:numPr>
          <w:ilvl w:val="0"/>
          <w:numId w:val="2"/>
        </w:numPr>
        <w:spacing w:after="114"/>
        <w:ind w:right="301" w:hanging="360"/>
        <w:rPr>
          <w:rFonts w:ascii="Arial" w:hAnsi="Arial" w:cs="Arial"/>
        </w:rPr>
      </w:pPr>
      <w:r w:rsidRPr="00805627">
        <w:rPr>
          <w:rFonts w:ascii="Arial" w:hAnsi="Arial" w:cs="Arial"/>
        </w:rPr>
        <w:t xml:space="preserve">Provision of Internal Quality Assurance services by Futures staff  </w:t>
      </w:r>
    </w:p>
    <w:p w14:paraId="55214210" w14:textId="77777777" w:rsidR="0020609B" w:rsidRDefault="0020609B" w:rsidP="0020609B">
      <w:pPr>
        <w:spacing w:after="160" w:line="259" w:lineRule="auto"/>
        <w:ind w:right="0"/>
        <w:rPr>
          <w:rFonts w:ascii="Arial" w:hAnsi="Arial" w:cs="Arial"/>
        </w:rPr>
      </w:pPr>
    </w:p>
    <w:p w14:paraId="77F033F4" w14:textId="325B756F" w:rsidR="00CC54FD" w:rsidRPr="00805627" w:rsidRDefault="00752B4C">
      <w:pPr>
        <w:pStyle w:val="Heading1"/>
        <w:ind w:left="9"/>
        <w:rPr>
          <w:rFonts w:ascii="Arial" w:hAnsi="Arial" w:cs="Arial"/>
        </w:rPr>
      </w:pPr>
      <w:r w:rsidRPr="00805627">
        <w:rPr>
          <w:rFonts w:ascii="Arial" w:hAnsi="Arial" w:cs="Arial"/>
        </w:rPr>
        <w:t xml:space="preserve">Commitment to improving the quality of teaching and </w:t>
      </w:r>
      <w:r w:rsidR="00021C60" w:rsidRPr="00805627">
        <w:rPr>
          <w:rFonts w:ascii="Arial" w:hAnsi="Arial" w:cs="Arial"/>
        </w:rPr>
        <w:t>learning.</w:t>
      </w:r>
      <w:r w:rsidRPr="00805627">
        <w:rPr>
          <w:rFonts w:ascii="Arial" w:hAnsi="Arial" w:cs="Arial"/>
        </w:rPr>
        <w:t xml:space="preserve">  </w:t>
      </w:r>
    </w:p>
    <w:p w14:paraId="5506172B" w14:textId="77777777" w:rsidR="00CC54FD" w:rsidRPr="00805627" w:rsidRDefault="00752B4C">
      <w:pPr>
        <w:ind w:left="10" w:right="301"/>
        <w:rPr>
          <w:rFonts w:ascii="Arial" w:hAnsi="Arial" w:cs="Arial"/>
        </w:rPr>
      </w:pPr>
      <w:r w:rsidRPr="00805627">
        <w:rPr>
          <w:rFonts w:ascii="Arial" w:hAnsi="Arial" w:cs="Arial"/>
        </w:rPr>
        <w:t>Futures is committed to continuously improving its own quality of teaching and learning and extends this support to its sub</w:t>
      </w:r>
      <w:r w:rsidR="0006055B">
        <w:rPr>
          <w:rFonts w:ascii="Arial" w:hAnsi="Arial" w:cs="Arial"/>
        </w:rPr>
        <w:t>-</w:t>
      </w:r>
      <w:r w:rsidRPr="00805627">
        <w:rPr>
          <w:rFonts w:ascii="Arial" w:hAnsi="Arial" w:cs="Arial"/>
        </w:rPr>
        <w:t xml:space="preserve">contract providers including through sharing of teaching and learning strategies, areas with identification for improvement, and resource support for delivery observations and recommendations.  </w:t>
      </w:r>
    </w:p>
    <w:p w14:paraId="65B3AC74" w14:textId="77777777" w:rsidR="00CC54FD" w:rsidRPr="00805627" w:rsidRDefault="0006055B">
      <w:pPr>
        <w:ind w:left="10" w:right="301"/>
        <w:rPr>
          <w:rFonts w:ascii="Arial" w:hAnsi="Arial" w:cs="Arial"/>
        </w:rPr>
      </w:pPr>
      <w:r>
        <w:rPr>
          <w:rFonts w:ascii="Arial" w:hAnsi="Arial" w:cs="Arial"/>
        </w:rPr>
        <w:t xml:space="preserve">Futures </w:t>
      </w:r>
      <w:r w:rsidR="00752B4C" w:rsidRPr="00805627">
        <w:rPr>
          <w:rFonts w:ascii="Arial" w:hAnsi="Arial" w:cs="Arial"/>
        </w:rPr>
        <w:t xml:space="preserve">requires high standards of teaching and learning quality from its delivery partners but also recognises that some partners benefit from support in this area and therefore provides this within its services offer.  </w:t>
      </w:r>
    </w:p>
    <w:p w14:paraId="38EBC432" w14:textId="77777777" w:rsidR="00CC54FD" w:rsidRPr="00B339DA" w:rsidRDefault="00752B4C" w:rsidP="00B339DA">
      <w:pPr>
        <w:spacing w:after="158" w:line="259" w:lineRule="auto"/>
        <w:ind w:right="0"/>
        <w:rPr>
          <w:rFonts w:ascii="Arial" w:hAnsi="Arial" w:cs="Arial"/>
          <w:b/>
        </w:rPr>
      </w:pPr>
      <w:r w:rsidRPr="00B339DA">
        <w:rPr>
          <w:rFonts w:ascii="Arial" w:hAnsi="Arial" w:cs="Arial"/>
          <w:b/>
        </w:rPr>
        <w:t xml:space="preserve">Fees and Charges  </w:t>
      </w:r>
    </w:p>
    <w:p w14:paraId="47D274C6" w14:textId="77777777" w:rsidR="00CC54FD" w:rsidRPr="00805627" w:rsidRDefault="00752B4C">
      <w:pPr>
        <w:ind w:left="10" w:right="301"/>
        <w:rPr>
          <w:rFonts w:ascii="Arial" w:hAnsi="Arial" w:cs="Arial"/>
        </w:rPr>
      </w:pPr>
      <w:r w:rsidRPr="00805627">
        <w:rPr>
          <w:rFonts w:ascii="Arial" w:hAnsi="Arial" w:cs="Arial"/>
        </w:rPr>
        <w:t xml:space="preserve">The fee charged by Futures shall be agreed in the contract which shall be against the funding claimed by Futures in relation to the sub-contracted delivery. Futures shall make payment to the subcontractor within 30 days of receiving a valid claim for payment.   </w:t>
      </w:r>
    </w:p>
    <w:p w14:paraId="6FD6BC20" w14:textId="77777777" w:rsidR="00CC54FD" w:rsidRPr="00805627" w:rsidRDefault="00752B4C">
      <w:pPr>
        <w:spacing w:after="244"/>
        <w:ind w:left="10" w:right="301"/>
        <w:rPr>
          <w:rFonts w:ascii="Arial" w:hAnsi="Arial" w:cs="Arial"/>
        </w:rPr>
      </w:pPr>
      <w:r w:rsidRPr="00805627">
        <w:rPr>
          <w:rFonts w:ascii="Arial" w:hAnsi="Arial" w:cs="Arial"/>
        </w:rPr>
        <w:t xml:space="preserve">The fee will be set using the following:  </w:t>
      </w:r>
    </w:p>
    <w:p w14:paraId="1BFBFC8E" w14:textId="1630E71E" w:rsidR="00CC54FD" w:rsidRPr="00805627" w:rsidRDefault="00752B4C">
      <w:pPr>
        <w:numPr>
          <w:ilvl w:val="0"/>
          <w:numId w:val="3"/>
        </w:numPr>
        <w:spacing w:after="91" w:line="246" w:lineRule="auto"/>
        <w:ind w:right="301" w:hanging="360"/>
        <w:rPr>
          <w:rFonts w:ascii="Arial" w:hAnsi="Arial" w:cs="Arial"/>
        </w:rPr>
      </w:pPr>
      <w:r w:rsidRPr="00805627">
        <w:rPr>
          <w:rFonts w:ascii="Arial" w:hAnsi="Arial" w:cs="Arial"/>
        </w:rPr>
        <w:t xml:space="preserve">To include the option for Futures to increase or decrease the standard management fee </w:t>
      </w:r>
      <w:r w:rsidR="00E7124A">
        <w:rPr>
          <w:rFonts w:ascii="Arial" w:hAnsi="Arial" w:cs="Arial"/>
        </w:rPr>
        <w:t xml:space="preserve">(agreed minimum standard) </w:t>
      </w:r>
      <w:r w:rsidRPr="00805627">
        <w:rPr>
          <w:rFonts w:ascii="Arial" w:hAnsi="Arial" w:cs="Arial"/>
        </w:rPr>
        <w:t xml:space="preserve">in proportion to the nature, content, risk and distribution of the sub-contracted </w:t>
      </w:r>
      <w:r w:rsidR="004C2AA9" w:rsidRPr="00805627">
        <w:rPr>
          <w:rFonts w:ascii="Arial" w:hAnsi="Arial" w:cs="Arial"/>
        </w:rPr>
        <w:t>delivery.</w:t>
      </w:r>
      <w:r w:rsidRPr="00805627">
        <w:rPr>
          <w:rFonts w:ascii="Arial" w:hAnsi="Arial" w:cs="Arial"/>
        </w:rPr>
        <w:t xml:space="preserve">  </w:t>
      </w:r>
    </w:p>
    <w:p w14:paraId="2D14A0D7" w14:textId="0D3A9B7A" w:rsidR="00CC54FD" w:rsidRPr="00805627" w:rsidRDefault="00752B4C">
      <w:pPr>
        <w:numPr>
          <w:ilvl w:val="0"/>
          <w:numId w:val="3"/>
        </w:numPr>
        <w:spacing w:after="85"/>
        <w:ind w:right="301" w:hanging="360"/>
        <w:rPr>
          <w:rFonts w:ascii="Arial" w:hAnsi="Arial" w:cs="Arial"/>
        </w:rPr>
      </w:pPr>
      <w:r w:rsidRPr="00805627">
        <w:rPr>
          <w:rFonts w:ascii="Arial" w:hAnsi="Arial" w:cs="Arial"/>
        </w:rPr>
        <w:t xml:space="preserve">To enable Futures to increase the standard management fee in relation to the failure of the sub-contractor to hit agreed standards and </w:t>
      </w:r>
      <w:r w:rsidR="004C2AA9" w:rsidRPr="00805627">
        <w:rPr>
          <w:rFonts w:ascii="Arial" w:hAnsi="Arial" w:cs="Arial"/>
        </w:rPr>
        <w:t>targets.</w:t>
      </w:r>
      <w:r w:rsidRPr="00805627">
        <w:rPr>
          <w:rFonts w:ascii="Arial" w:hAnsi="Arial" w:cs="Arial"/>
        </w:rPr>
        <w:t xml:space="preserve">  </w:t>
      </w:r>
    </w:p>
    <w:p w14:paraId="0B6B1600" w14:textId="36519518" w:rsidR="00CC54FD" w:rsidRPr="00805627" w:rsidRDefault="00752B4C">
      <w:pPr>
        <w:numPr>
          <w:ilvl w:val="0"/>
          <w:numId w:val="3"/>
        </w:numPr>
        <w:spacing w:after="85"/>
        <w:ind w:right="301" w:hanging="360"/>
        <w:rPr>
          <w:rFonts w:ascii="Arial" w:hAnsi="Arial" w:cs="Arial"/>
        </w:rPr>
      </w:pPr>
      <w:r w:rsidRPr="00805627">
        <w:rPr>
          <w:rFonts w:ascii="Arial" w:hAnsi="Arial" w:cs="Arial"/>
        </w:rPr>
        <w:t xml:space="preserve">To include the option for Futures to provide additional nonspecific services that are deemed necessary to support the continuous improvement of standards in the sub-contracted provision that are over and above the agreed minimum level of </w:t>
      </w:r>
      <w:r w:rsidR="004C2AA9" w:rsidRPr="00805627">
        <w:rPr>
          <w:rFonts w:ascii="Arial" w:hAnsi="Arial" w:cs="Arial"/>
        </w:rPr>
        <w:t>services.</w:t>
      </w:r>
      <w:r w:rsidRPr="00805627">
        <w:rPr>
          <w:rFonts w:ascii="Arial" w:hAnsi="Arial" w:cs="Arial"/>
        </w:rPr>
        <w:t xml:space="preserve">  </w:t>
      </w:r>
    </w:p>
    <w:p w14:paraId="2637B2D4" w14:textId="237E587A" w:rsidR="00CC54FD" w:rsidRPr="00805627" w:rsidRDefault="00752B4C">
      <w:pPr>
        <w:numPr>
          <w:ilvl w:val="0"/>
          <w:numId w:val="3"/>
        </w:numPr>
        <w:spacing w:after="6"/>
        <w:ind w:right="301" w:hanging="360"/>
        <w:rPr>
          <w:rFonts w:ascii="Arial" w:hAnsi="Arial" w:cs="Arial"/>
        </w:rPr>
      </w:pPr>
      <w:r w:rsidRPr="00805627">
        <w:rPr>
          <w:rFonts w:ascii="Arial" w:hAnsi="Arial" w:cs="Arial"/>
        </w:rPr>
        <w:t xml:space="preserve">To enable the sub-contractor to purchase additional services from Futures that are so required by the sub-contractor and outside the agreed minimum </w:t>
      </w:r>
      <w:r w:rsidR="004C2AA9" w:rsidRPr="00805627">
        <w:rPr>
          <w:rFonts w:ascii="Arial" w:hAnsi="Arial" w:cs="Arial"/>
        </w:rPr>
        <w:t>services.</w:t>
      </w:r>
      <w:r w:rsidRPr="00805627">
        <w:rPr>
          <w:rFonts w:ascii="Arial" w:hAnsi="Arial" w:cs="Arial"/>
        </w:rPr>
        <w:t xml:space="preserve">  </w:t>
      </w:r>
    </w:p>
    <w:p w14:paraId="41D424AA" w14:textId="77777777" w:rsidR="00CC54FD" w:rsidRPr="00805627" w:rsidRDefault="00752B4C">
      <w:pPr>
        <w:spacing w:after="0" w:line="259" w:lineRule="auto"/>
        <w:ind w:left="734" w:right="0" w:firstLine="0"/>
        <w:rPr>
          <w:rFonts w:ascii="Arial" w:hAnsi="Arial" w:cs="Arial"/>
        </w:rPr>
      </w:pPr>
      <w:r w:rsidRPr="00805627">
        <w:rPr>
          <w:rFonts w:ascii="Arial" w:hAnsi="Arial" w:cs="Arial"/>
        </w:rPr>
        <w:t xml:space="preserve"> </w:t>
      </w:r>
    </w:p>
    <w:tbl>
      <w:tblPr>
        <w:tblStyle w:val="TableGrid"/>
        <w:tblW w:w="9013" w:type="dxa"/>
        <w:tblInd w:w="28" w:type="dxa"/>
        <w:tblCellMar>
          <w:left w:w="116" w:type="dxa"/>
          <w:bottom w:w="190" w:type="dxa"/>
          <w:right w:w="18" w:type="dxa"/>
        </w:tblCellMar>
        <w:tblLook w:val="04A0" w:firstRow="1" w:lastRow="0" w:firstColumn="1" w:lastColumn="0" w:noHBand="0" w:noVBand="1"/>
      </w:tblPr>
      <w:tblGrid>
        <w:gridCol w:w="2250"/>
        <w:gridCol w:w="2255"/>
        <w:gridCol w:w="2255"/>
        <w:gridCol w:w="2253"/>
      </w:tblGrid>
      <w:tr w:rsidR="00CC54FD" w:rsidRPr="00805627" w14:paraId="3EC0783D" w14:textId="77777777">
        <w:trPr>
          <w:trHeight w:val="1553"/>
        </w:trPr>
        <w:tc>
          <w:tcPr>
            <w:tcW w:w="2250"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028F69B3" w14:textId="77777777" w:rsidR="00CC54FD" w:rsidRPr="00805627" w:rsidRDefault="00805627">
            <w:pPr>
              <w:spacing w:after="0" w:line="259" w:lineRule="auto"/>
              <w:ind w:left="507" w:right="0" w:hanging="490"/>
              <w:jc w:val="both"/>
              <w:rPr>
                <w:rFonts w:ascii="Arial" w:hAnsi="Arial" w:cs="Arial"/>
                <w:sz w:val="20"/>
                <w:szCs w:val="20"/>
              </w:rPr>
            </w:pPr>
            <w:r w:rsidRPr="00805627">
              <w:rPr>
                <w:rFonts w:ascii="Arial" w:hAnsi="Arial" w:cs="Arial"/>
                <w:b/>
                <w:sz w:val="20"/>
                <w:szCs w:val="20"/>
              </w:rPr>
              <w:t xml:space="preserve">Provision </w:t>
            </w:r>
            <w:r w:rsidR="00752B4C" w:rsidRPr="00805627">
              <w:rPr>
                <w:rFonts w:ascii="Arial" w:hAnsi="Arial" w:cs="Arial"/>
                <w:b/>
                <w:sz w:val="20"/>
                <w:szCs w:val="20"/>
              </w:rPr>
              <w:t xml:space="preserve">of services by Futures </w:t>
            </w:r>
            <w:r w:rsidR="00752B4C" w:rsidRPr="00805627">
              <w:rPr>
                <w:rFonts w:ascii="Arial" w:hAnsi="Arial" w:cs="Arial"/>
                <w:sz w:val="20"/>
                <w:szCs w:val="20"/>
              </w:rPr>
              <w:t xml:space="preserve"> </w:t>
            </w:r>
          </w:p>
        </w:tc>
        <w:tc>
          <w:tcPr>
            <w:tcW w:w="2255"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52D6A6A2" w14:textId="77777777" w:rsidR="00CC54FD" w:rsidRPr="00805627" w:rsidRDefault="00752B4C">
            <w:pPr>
              <w:spacing w:after="0" w:line="259" w:lineRule="auto"/>
              <w:ind w:left="5" w:right="0" w:hanging="5"/>
              <w:jc w:val="center"/>
              <w:rPr>
                <w:rFonts w:ascii="Arial" w:hAnsi="Arial" w:cs="Arial"/>
                <w:sz w:val="20"/>
                <w:szCs w:val="20"/>
              </w:rPr>
            </w:pPr>
            <w:r w:rsidRPr="00805627">
              <w:rPr>
                <w:rFonts w:ascii="Arial" w:hAnsi="Arial" w:cs="Arial"/>
                <w:b/>
                <w:sz w:val="20"/>
                <w:szCs w:val="20"/>
              </w:rPr>
              <w:t xml:space="preserve">Standard Fee as a proportion of funding earned </w:t>
            </w:r>
            <w:r w:rsidRPr="00805627">
              <w:rPr>
                <w:rFonts w:ascii="Arial" w:hAnsi="Arial" w:cs="Arial"/>
                <w:sz w:val="20"/>
                <w:szCs w:val="20"/>
              </w:rPr>
              <w:t xml:space="preserve"> </w:t>
            </w:r>
          </w:p>
        </w:tc>
        <w:tc>
          <w:tcPr>
            <w:tcW w:w="2255"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0FC36DF2" w14:textId="77777777" w:rsidR="00CC54FD" w:rsidRPr="00805627" w:rsidRDefault="00752B4C">
            <w:pPr>
              <w:spacing w:after="0" w:line="259" w:lineRule="auto"/>
              <w:ind w:left="1" w:right="0" w:hanging="1"/>
              <w:jc w:val="center"/>
              <w:rPr>
                <w:rFonts w:ascii="Arial" w:hAnsi="Arial" w:cs="Arial"/>
                <w:sz w:val="20"/>
                <w:szCs w:val="20"/>
              </w:rPr>
            </w:pPr>
            <w:r w:rsidRPr="00805627">
              <w:rPr>
                <w:rFonts w:ascii="Arial" w:hAnsi="Arial" w:cs="Arial"/>
                <w:b/>
                <w:sz w:val="20"/>
                <w:szCs w:val="20"/>
              </w:rPr>
              <w:t xml:space="preserve">Possible range of fee as a proportion of funding earned </w:t>
            </w:r>
            <w:r w:rsidRPr="00805627">
              <w:rPr>
                <w:rFonts w:ascii="Arial" w:hAnsi="Arial" w:cs="Arial"/>
                <w:sz w:val="20"/>
                <w:szCs w:val="20"/>
              </w:rPr>
              <w:t xml:space="preserve"> </w:t>
            </w:r>
          </w:p>
        </w:tc>
        <w:tc>
          <w:tcPr>
            <w:tcW w:w="2253"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575DA645" w14:textId="77777777" w:rsidR="00CC54FD" w:rsidRPr="00805627" w:rsidRDefault="00752B4C">
            <w:pPr>
              <w:spacing w:after="0" w:line="259" w:lineRule="auto"/>
              <w:ind w:left="0" w:right="0" w:firstLine="0"/>
              <w:jc w:val="center"/>
              <w:rPr>
                <w:rFonts w:ascii="Arial" w:hAnsi="Arial" w:cs="Arial"/>
                <w:sz w:val="20"/>
                <w:szCs w:val="20"/>
              </w:rPr>
            </w:pPr>
            <w:r w:rsidRPr="00805627">
              <w:rPr>
                <w:rFonts w:ascii="Arial" w:hAnsi="Arial" w:cs="Arial"/>
                <w:b/>
                <w:sz w:val="20"/>
                <w:szCs w:val="20"/>
              </w:rPr>
              <w:t xml:space="preserve">Direct Charge for specific service </w:t>
            </w:r>
            <w:r w:rsidRPr="00805627">
              <w:rPr>
                <w:rFonts w:ascii="Arial" w:hAnsi="Arial" w:cs="Arial"/>
                <w:sz w:val="20"/>
                <w:szCs w:val="20"/>
              </w:rPr>
              <w:t xml:space="preserve"> </w:t>
            </w:r>
          </w:p>
        </w:tc>
      </w:tr>
      <w:tr w:rsidR="00CC54FD" w:rsidRPr="00805627" w14:paraId="50E68F1D" w14:textId="77777777">
        <w:trPr>
          <w:trHeight w:val="1137"/>
        </w:trPr>
        <w:tc>
          <w:tcPr>
            <w:tcW w:w="2250" w:type="dxa"/>
            <w:tcBorders>
              <w:top w:val="single" w:sz="4" w:space="0" w:color="000000"/>
              <w:left w:val="single" w:sz="4" w:space="0" w:color="000000"/>
              <w:bottom w:val="single" w:sz="4" w:space="0" w:color="000000"/>
              <w:right w:val="single" w:sz="4" w:space="0" w:color="000000"/>
            </w:tcBorders>
            <w:vAlign w:val="bottom"/>
          </w:tcPr>
          <w:p w14:paraId="78D18776" w14:textId="77777777" w:rsidR="00CC54FD" w:rsidRPr="00805627" w:rsidRDefault="00752B4C">
            <w:pPr>
              <w:spacing w:after="0" w:line="259" w:lineRule="auto"/>
              <w:ind w:left="0" w:right="0" w:firstLine="0"/>
              <w:jc w:val="center"/>
              <w:rPr>
                <w:rFonts w:ascii="Arial" w:hAnsi="Arial" w:cs="Arial"/>
                <w:sz w:val="20"/>
                <w:szCs w:val="20"/>
              </w:rPr>
            </w:pPr>
            <w:r w:rsidRPr="00805627">
              <w:rPr>
                <w:rFonts w:ascii="Arial" w:hAnsi="Arial" w:cs="Arial"/>
                <w:sz w:val="20"/>
                <w:szCs w:val="20"/>
              </w:rPr>
              <w:t xml:space="preserve">Agreed minimum standard  </w:t>
            </w:r>
          </w:p>
        </w:tc>
        <w:tc>
          <w:tcPr>
            <w:tcW w:w="2255" w:type="dxa"/>
            <w:tcBorders>
              <w:top w:val="single" w:sz="4" w:space="0" w:color="000000"/>
              <w:left w:val="single" w:sz="4" w:space="0" w:color="000000"/>
              <w:bottom w:val="single" w:sz="4" w:space="0" w:color="000000"/>
              <w:right w:val="single" w:sz="4" w:space="0" w:color="000000"/>
            </w:tcBorders>
            <w:vAlign w:val="bottom"/>
          </w:tcPr>
          <w:p w14:paraId="1946A8C4" w14:textId="77777777" w:rsidR="00CC54FD" w:rsidRPr="00805627" w:rsidRDefault="00752B4C">
            <w:pPr>
              <w:spacing w:after="0" w:line="259" w:lineRule="auto"/>
              <w:ind w:left="0" w:right="100" w:firstLine="0"/>
              <w:jc w:val="center"/>
              <w:rPr>
                <w:rFonts w:ascii="Arial" w:hAnsi="Arial" w:cs="Arial"/>
                <w:sz w:val="20"/>
                <w:szCs w:val="20"/>
              </w:rPr>
            </w:pPr>
            <w:r w:rsidRPr="00805627">
              <w:rPr>
                <w:rFonts w:ascii="Arial" w:hAnsi="Arial" w:cs="Arial"/>
                <w:sz w:val="20"/>
                <w:szCs w:val="20"/>
              </w:rPr>
              <w:t xml:space="preserve">20%  </w:t>
            </w:r>
          </w:p>
        </w:tc>
        <w:tc>
          <w:tcPr>
            <w:tcW w:w="2255" w:type="dxa"/>
            <w:tcBorders>
              <w:top w:val="single" w:sz="4" w:space="0" w:color="000000"/>
              <w:left w:val="single" w:sz="4" w:space="0" w:color="000000"/>
              <w:bottom w:val="single" w:sz="4" w:space="0" w:color="000000"/>
              <w:right w:val="single" w:sz="4" w:space="0" w:color="000000"/>
            </w:tcBorders>
            <w:vAlign w:val="bottom"/>
          </w:tcPr>
          <w:p w14:paraId="46C51416" w14:textId="77777777" w:rsidR="00CC54FD" w:rsidRPr="00805627" w:rsidRDefault="00752B4C">
            <w:pPr>
              <w:spacing w:after="0" w:line="259" w:lineRule="auto"/>
              <w:ind w:left="0" w:right="101" w:firstLine="0"/>
              <w:jc w:val="center"/>
              <w:rPr>
                <w:rFonts w:ascii="Arial" w:hAnsi="Arial" w:cs="Arial"/>
                <w:sz w:val="20"/>
                <w:szCs w:val="20"/>
              </w:rPr>
            </w:pPr>
            <w:r w:rsidRPr="00805627">
              <w:rPr>
                <w:rFonts w:ascii="Arial" w:hAnsi="Arial" w:cs="Arial"/>
                <w:sz w:val="20"/>
                <w:szCs w:val="20"/>
              </w:rPr>
              <w:t xml:space="preserve">15%-30%  </w:t>
            </w:r>
          </w:p>
        </w:tc>
        <w:tc>
          <w:tcPr>
            <w:tcW w:w="2253" w:type="dxa"/>
            <w:tcBorders>
              <w:top w:val="single" w:sz="4" w:space="0" w:color="000000"/>
              <w:left w:val="single" w:sz="4" w:space="0" w:color="000000"/>
              <w:bottom w:val="single" w:sz="4" w:space="0" w:color="000000"/>
              <w:right w:val="single" w:sz="4" w:space="0" w:color="000000"/>
            </w:tcBorders>
            <w:vAlign w:val="bottom"/>
          </w:tcPr>
          <w:p w14:paraId="11A06244" w14:textId="77777777" w:rsidR="00CC54FD" w:rsidRPr="00805627" w:rsidRDefault="00752B4C">
            <w:pPr>
              <w:spacing w:after="0" w:line="259" w:lineRule="auto"/>
              <w:ind w:left="0" w:right="96" w:firstLine="0"/>
              <w:jc w:val="center"/>
              <w:rPr>
                <w:rFonts w:ascii="Arial" w:hAnsi="Arial" w:cs="Arial"/>
                <w:sz w:val="20"/>
                <w:szCs w:val="20"/>
              </w:rPr>
            </w:pPr>
            <w:r w:rsidRPr="00805627">
              <w:rPr>
                <w:rFonts w:ascii="Arial" w:hAnsi="Arial" w:cs="Arial"/>
                <w:sz w:val="20"/>
                <w:szCs w:val="20"/>
              </w:rPr>
              <w:t xml:space="preserve">n/a  </w:t>
            </w:r>
          </w:p>
        </w:tc>
      </w:tr>
      <w:tr w:rsidR="00CC54FD" w:rsidRPr="00805627" w14:paraId="62F39E72" w14:textId="77777777">
        <w:trPr>
          <w:trHeight w:val="1133"/>
        </w:trPr>
        <w:tc>
          <w:tcPr>
            <w:tcW w:w="2250" w:type="dxa"/>
            <w:tcBorders>
              <w:top w:val="single" w:sz="4" w:space="0" w:color="000000"/>
              <w:left w:val="single" w:sz="4" w:space="0" w:color="000000"/>
              <w:bottom w:val="single" w:sz="4" w:space="0" w:color="000000"/>
              <w:right w:val="single" w:sz="4" w:space="0" w:color="000000"/>
            </w:tcBorders>
            <w:vAlign w:val="bottom"/>
          </w:tcPr>
          <w:p w14:paraId="380D1F28" w14:textId="77777777" w:rsidR="00CC54FD" w:rsidRPr="00805627" w:rsidRDefault="00752B4C">
            <w:pPr>
              <w:spacing w:after="0" w:line="259" w:lineRule="auto"/>
              <w:ind w:left="0" w:right="0" w:firstLine="0"/>
              <w:jc w:val="center"/>
              <w:rPr>
                <w:rFonts w:ascii="Arial" w:hAnsi="Arial" w:cs="Arial"/>
                <w:sz w:val="20"/>
                <w:szCs w:val="20"/>
              </w:rPr>
            </w:pPr>
            <w:r w:rsidRPr="00805627">
              <w:rPr>
                <w:rFonts w:ascii="Arial" w:hAnsi="Arial" w:cs="Arial"/>
                <w:sz w:val="20"/>
                <w:szCs w:val="20"/>
              </w:rPr>
              <w:lastRenderedPageBreak/>
              <w:t xml:space="preserve">Additional nonspecific services  </w:t>
            </w:r>
          </w:p>
        </w:tc>
        <w:tc>
          <w:tcPr>
            <w:tcW w:w="2255" w:type="dxa"/>
            <w:tcBorders>
              <w:top w:val="single" w:sz="4" w:space="0" w:color="000000"/>
              <w:left w:val="single" w:sz="4" w:space="0" w:color="000000"/>
              <w:bottom w:val="single" w:sz="4" w:space="0" w:color="000000"/>
              <w:right w:val="single" w:sz="4" w:space="0" w:color="000000"/>
            </w:tcBorders>
            <w:vAlign w:val="bottom"/>
          </w:tcPr>
          <w:p w14:paraId="6A711047" w14:textId="77777777" w:rsidR="00CC54FD" w:rsidRPr="00805627" w:rsidRDefault="00752B4C">
            <w:pPr>
              <w:spacing w:after="0" w:line="259" w:lineRule="auto"/>
              <w:ind w:left="0" w:right="92" w:firstLine="0"/>
              <w:jc w:val="center"/>
              <w:rPr>
                <w:rFonts w:ascii="Arial" w:hAnsi="Arial" w:cs="Arial"/>
                <w:sz w:val="20"/>
                <w:szCs w:val="20"/>
              </w:rPr>
            </w:pPr>
            <w:r w:rsidRPr="00805627">
              <w:rPr>
                <w:rFonts w:ascii="Arial" w:hAnsi="Arial" w:cs="Arial"/>
                <w:sz w:val="20"/>
                <w:szCs w:val="20"/>
              </w:rPr>
              <w:t xml:space="preserve">n/a  </w:t>
            </w:r>
          </w:p>
        </w:tc>
        <w:tc>
          <w:tcPr>
            <w:tcW w:w="2255" w:type="dxa"/>
            <w:tcBorders>
              <w:top w:val="single" w:sz="4" w:space="0" w:color="000000"/>
              <w:left w:val="single" w:sz="4" w:space="0" w:color="000000"/>
              <w:bottom w:val="single" w:sz="4" w:space="0" w:color="000000"/>
              <w:right w:val="single" w:sz="4" w:space="0" w:color="000000"/>
            </w:tcBorders>
            <w:vAlign w:val="bottom"/>
          </w:tcPr>
          <w:p w14:paraId="0E8A7054" w14:textId="77777777" w:rsidR="00CC54FD" w:rsidRPr="00805627" w:rsidRDefault="00752B4C">
            <w:pPr>
              <w:spacing w:after="0" w:line="259" w:lineRule="auto"/>
              <w:ind w:left="0" w:right="101" w:firstLine="0"/>
              <w:jc w:val="center"/>
              <w:rPr>
                <w:rFonts w:ascii="Arial" w:hAnsi="Arial" w:cs="Arial"/>
                <w:sz w:val="20"/>
                <w:szCs w:val="20"/>
              </w:rPr>
            </w:pPr>
            <w:r w:rsidRPr="00805627">
              <w:rPr>
                <w:rFonts w:ascii="Arial" w:hAnsi="Arial" w:cs="Arial"/>
                <w:sz w:val="20"/>
                <w:szCs w:val="20"/>
              </w:rPr>
              <w:t xml:space="preserve">15%-30%  </w:t>
            </w:r>
          </w:p>
        </w:tc>
        <w:tc>
          <w:tcPr>
            <w:tcW w:w="2253" w:type="dxa"/>
            <w:tcBorders>
              <w:top w:val="single" w:sz="4" w:space="0" w:color="000000"/>
              <w:left w:val="single" w:sz="4" w:space="0" w:color="000000"/>
              <w:bottom w:val="single" w:sz="4" w:space="0" w:color="000000"/>
              <w:right w:val="single" w:sz="4" w:space="0" w:color="000000"/>
            </w:tcBorders>
            <w:vAlign w:val="bottom"/>
          </w:tcPr>
          <w:p w14:paraId="7003F5A5" w14:textId="77777777" w:rsidR="00CC54FD" w:rsidRPr="00805627" w:rsidRDefault="00752B4C">
            <w:pPr>
              <w:spacing w:after="0" w:line="259" w:lineRule="auto"/>
              <w:ind w:left="0" w:right="96" w:firstLine="0"/>
              <w:jc w:val="center"/>
              <w:rPr>
                <w:rFonts w:ascii="Arial" w:hAnsi="Arial" w:cs="Arial"/>
                <w:sz w:val="20"/>
                <w:szCs w:val="20"/>
              </w:rPr>
            </w:pPr>
            <w:r w:rsidRPr="00805627">
              <w:rPr>
                <w:rFonts w:ascii="Arial" w:hAnsi="Arial" w:cs="Arial"/>
                <w:sz w:val="20"/>
                <w:szCs w:val="20"/>
              </w:rPr>
              <w:t xml:space="preserve">n/a  </w:t>
            </w:r>
          </w:p>
        </w:tc>
      </w:tr>
      <w:tr w:rsidR="00CC54FD" w:rsidRPr="00805627" w14:paraId="6FDBE3C6" w14:textId="77777777">
        <w:trPr>
          <w:trHeight w:val="1133"/>
        </w:trPr>
        <w:tc>
          <w:tcPr>
            <w:tcW w:w="2250" w:type="dxa"/>
            <w:tcBorders>
              <w:top w:val="single" w:sz="4" w:space="0" w:color="000000"/>
              <w:left w:val="single" w:sz="4" w:space="0" w:color="000000"/>
              <w:bottom w:val="single" w:sz="4" w:space="0" w:color="000000"/>
              <w:right w:val="single" w:sz="4" w:space="0" w:color="000000"/>
            </w:tcBorders>
            <w:vAlign w:val="bottom"/>
          </w:tcPr>
          <w:p w14:paraId="37125DA5" w14:textId="77777777" w:rsidR="00CC54FD" w:rsidRPr="00805627" w:rsidRDefault="00752B4C">
            <w:pPr>
              <w:spacing w:after="0" w:line="259" w:lineRule="auto"/>
              <w:ind w:left="0" w:right="0" w:firstLine="0"/>
              <w:jc w:val="center"/>
              <w:rPr>
                <w:rFonts w:ascii="Arial" w:hAnsi="Arial" w:cs="Arial"/>
                <w:sz w:val="20"/>
                <w:szCs w:val="20"/>
              </w:rPr>
            </w:pPr>
            <w:r w:rsidRPr="00805627">
              <w:rPr>
                <w:rFonts w:ascii="Arial" w:hAnsi="Arial" w:cs="Arial"/>
                <w:sz w:val="20"/>
                <w:szCs w:val="20"/>
              </w:rPr>
              <w:t xml:space="preserve">Additional specific services  </w:t>
            </w:r>
          </w:p>
        </w:tc>
        <w:tc>
          <w:tcPr>
            <w:tcW w:w="2255" w:type="dxa"/>
            <w:tcBorders>
              <w:top w:val="single" w:sz="4" w:space="0" w:color="000000"/>
              <w:left w:val="single" w:sz="4" w:space="0" w:color="000000"/>
              <w:bottom w:val="single" w:sz="4" w:space="0" w:color="000000"/>
              <w:right w:val="single" w:sz="4" w:space="0" w:color="000000"/>
            </w:tcBorders>
            <w:vAlign w:val="bottom"/>
          </w:tcPr>
          <w:p w14:paraId="569F61CD" w14:textId="77777777" w:rsidR="00CC54FD" w:rsidRPr="00805627" w:rsidRDefault="00752B4C">
            <w:pPr>
              <w:spacing w:after="0" w:line="259" w:lineRule="auto"/>
              <w:ind w:left="0" w:right="92" w:firstLine="0"/>
              <w:jc w:val="center"/>
              <w:rPr>
                <w:rFonts w:ascii="Arial" w:hAnsi="Arial" w:cs="Arial"/>
                <w:sz w:val="20"/>
                <w:szCs w:val="20"/>
              </w:rPr>
            </w:pPr>
            <w:r w:rsidRPr="00805627">
              <w:rPr>
                <w:rFonts w:ascii="Arial" w:hAnsi="Arial" w:cs="Arial"/>
                <w:sz w:val="20"/>
                <w:szCs w:val="20"/>
              </w:rPr>
              <w:t xml:space="preserve">n/a  </w:t>
            </w:r>
          </w:p>
        </w:tc>
        <w:tc>
          <w:tcPr>
            <w:tcW w:w="2255" w:type="dxa"/>
            <w:tcBorders>
              <w:top w:val="single" w:sz="4" w:space="0" w:color="000000"/>
              <w:left w:val="single" w:sz="4" w:space="0" w:color="000000"/>
              <w:bottom w:val="single" w:sz="4" w:space="0" w:color="000000"/>
              <w:right w:val="single" w:sz="4" w:space="0" w:color="000000"/>
            </w:tcBorders>
            <w:vAlign w:val="bottom"/>
          </w:tcPr>
          <w:p w14:paraId="3B77CDAA" w14:textId="77777777" w:rsidR="00CC54FD" w:rsidRPr="00805627" w:rsidRDefault="00752B4C">
            <w:pPr>
              <w:spacing w:after="0" w:line="259" w:lineRule="auto"/>
              <w:ind w:left="0" w:right="100" w:firstLine="0"/>
              <w:jc w:val="center"/>
              <w:rPr>
                <w:rFonts w:ascii="Arial" w:hAnsi="Arial" w:cs="Arial"/>
                <w:sz w:val="20"/>
                <w:szCs w:val="20"/>
              </w:rPr>
            </w:pPr>
            <w:r w:rsidRPr="00805627">
              <w:rPr>
                <w:rFonts w:ascii="Arial" w:hAnsi="Arial" w:cs="Arial"/>
                <w:sz w:val="20"/>
                <w:szCs w:val="20"/>
              </w:rPr>
              <w:t xml:space="preserve">n/a  </w:t>
            </w:r>
          </w:p>
        </w:tc>
        <w:tc>
          <w:tcPr>
            <w:tcW w:w="2253" w:type="dxa"/>
            <w:tcBorders>
              <w:top w:val="single" w:sz="4" w:space="0" w:color="000000"/>
              <w:left w:val="single" w:sz="4" w:space="0" w:color="000000"/>
              <w:bottom w:val="single" w:sz="4" w:space="0" w:color="000000"/>
              <w:right w:val="single" w:sz="4" w:space="0" w:color="000000"/>
            </w:tcBorders>
            <w:vAlign w:val="center"/>
          </w:tcPr>
          <w:p w14:paraId="7E19C493" w14:textId="77777777" w:rsidR="00CC54FD" w:rsidRPr="00805627" w:rsidRDefault="00752B4C">
            <w:pPr>
              <w:spacing w:after="5" w:line="237" w:lineRule="auto"/>
              <w:ind w:left="0" w:right="0" w:firstLine="0"/>
              <w:jc w:val="center"/>
              <w:rPr>
                <w:rFonts w:ascii="Arial" w:hAnsi="Arial" w:cs="Arial"/>
                <w:sz w:val="20"/>
                <w:szCs w:val="20"/>
              </w:rPr>
            </w:pPr>
            <w:r w:rsidRPr="00805627">
              <w:rPr>
                <w:rFonts w:ascii="Arial" w:hAnsi="Arial" w:cs="Arial"/>
                <w:sz w:val="20"/>
                <w:szCs w:val="20"/>
              </w:rPr>
              <w:t xml:space="preserve">Charged in accordance with cost of specific  </w:t>
            </w:r>
          </w:p>
          <w:p w14:paraId="3D974918" w14:textId="77777777" w:rsidR="00CC54FD" w:rsidRPr="00805627" w:rsidRDefault="00752B4C">
            <w:pPr>
              <w:spacing w:after="0" w:line="259" w:lineRule="auto"/>
              <w:ind w:left="0" w:right="99" w:firstLine="0"/>
              <w:jc w:val="center"/>
              <w:rPr>
                <w:rFonts w:ascii="Arial" w:hAnsi="Arial" w:cs="Arial"/>
                <w:sz w:val="20"/>
                <w:szCs w:val="20"/>
              </w:rPr>
            </w:pPr>
            <w:r w:rsidRPr="00805627">
              <w:rPr>
                <w:rFonts w:ascii="Arial" w:hAnsi="Arial" w:cs="Arial"/>
                <w:sz w:val="20"/>
                <w:szCs w:val="20"/>
              </w:rPr>
              <w:t xml:space="preserve">service  </w:t>
            </w:r>
          </w:p>
        </w:tc>
      </w:tr>
    </w:tbl>
    <w:p w14:paraId="511BE1A7" w14:textId="77777777" w:rsidR="00D23E11" w:rsidRDefault="00D23E11" w:rsidP="00B339DA">
      <w:pPr>
        <w:spacing w:after="160" w:line="259" w:lineRule="auto"/>
        <w:ind w:right="0"/>
        <w:rPr>
          <w:rFonts w:ascii="Arial" w:hAnsi="Arial" w:cs="Arial"/>
          <w:b/>
        </w:rPr>
      </w:pPr>
    </w:p>
    <w:p w14:paraId="61BE1CC3" w14:textId="00F4F9B2" w:rsidR="00CC54FD" w:rsidRPr="00B339DA" w:rsidRDefault="00752B4C" w:rsidP="00B339DA">
      <w:pPr>
        <w:spacing w:after="160" w:line="259" w:lineRule="auto"/>
        <w:ind w:right="0"/>
        <w:rPr>
          <w:rFonts w:ascii="Arial" w:hAnsi="Arial" w:cs="Arial"/>
          <w:b/>
        </w:rPr>
      </w:pPr>
      <w:r w:rsidRPr="00B339DA">
        <w:rPr>
          <w:rFonts w:ascii="Arial" w:hAnsi="Arial" w:cs="Arial"/>
          <w:b/>
        </w:rPr>
        <w:t xml:space="preserve">Contingency Planning  </w:t>
      </w:r>
    </w:p>
    <w:p w14:paraId="55624C2A" w14:textId="77777777" w:rsidR="00CC54FD" w:rsidRPr="00805627" w:rsidRDefault="00752B4C">
      <w:pPr>
        <w:spacing w:after="210"/>
        <w:ind w:left="10" w:right="301"/>
        <w:rPr>
          <w:rFonts w:ascii="Arial" w:hAnsi="Arial" w:cs="Arial"/>
        </w:rPr>
      </w:pPr>
      <w:r w:rsidRPr="00805627">
        <w:rPr>
          <w:rFonts w:ascii="Arial" w:hAnsi="Arial" w:cs="Arial"/>
        </w:rPr>
        <w:t xml:space="preserve">The following provides some clarity regarding the actions which Futures will take if any of the following situations occur: </w:t>
      </w:r>
    </w:p>
    <w:p w14:paraId="3710D39B" w14:textId="0AB8589C" w:rsidR="00CC54FD" w:rsidRPr="00805627" w:rsidRDefault="00752B4C">
      <w:pPr>
        <w:numPr>
          <w:ilvl w:val="0"/>
          <w:numId w:val="4"/>
        </w:numPr>
        <w:spacing w:after="42"/>
        <w:ind w:right="301" w:hanging="360"/>
        <w:rPr>
          <w:rFonts w:ascii="Arial" w:hAnsi="Arial" w:cs="Arial"/>
        </w:rPr>
      </w:pPr>
      <w:r w:rsidRPr="00805627">
        <w:rPr>
          <w:rFonts w:ascii="Arial" w:hAnsi="Arial" w:cs="Arial"/>
        </w:rPr>
        <w:t xml:space="preserve">The sub-contractor does not meet the standards and commitments agreed within the </w:t>
      </w:r>
      <w:r w:rsidR="004C2AA9" w:rsidRPr="00805627">
        <w:rPr>
          <w:rFonts w:ascii="Arial" w:hAnsi="Arial" w:cs="Arial"/>
        </w:rPr>
        <w:t>contract.</w:t>
      </w:r>
      <w:r w:rsidRPr="00805627">
        <w:rPr>
          <w:rFonts w:ascii="Arial" w:hAnsi="Arial" w:cs="Arial"/>
        </w:rPr>
        <w:t xml:space="preserve"> </w:t>
      </w:r>
    </w:p>
    <w:p w14:paraId="1B92ADD0" w14:textId="13885458" w:rsidR="00CC54FD" w:rsidRPr="00805627" w:rsidRDefault="00752B4C">
      <w:pPr>
        <w:numPr>
          <w:ilvl w:val="0"/>
          <w:numId w:val="4"/>
        </w:numPr>
        <w:ind w:right="301" w:hanging="360"/>
        <w:rPr>
          <w:rFonts w:ascii="Arial" w:hAnsi="Arial" w:cs="Arial"/>
        </w:rPr>
      </w:pPr>
      <w:r w:rsidRPr="00805627">
        <w:rPr>
          <w:rFonts w:ascii="Arial" w:hAnsi="Arial" w:cs="Arial"/>
        </w:rPr>
        <w:t xml:space="preserve">The sub-contractor goes into liquidation or financial mismanagement is found to have </w:t>
      </w:r>
      <w:r w:rsidR="004C2AA9" w:rsidRPr="00805627">
        <w:rPr>
          <w:rFonts w:ascii="Arial" w:hAnsi="Arial" w:cs="Arial"/>
        </w:rPr>
        <w:t>occurred.</w:t>
      </w:r>
      <w:r w:rsidRPr="00805627">
        <w:rPr>
          <w:rFonts w:ascii="Arial" w:hAnsi="Arial" w:cs="Arial"/>
        </w:rPr>
        <w:t xml:space="preserve"> </w:t>
      </w:r>
    </w:p>
    <w:p w14:paraId="6522C97F" w14:textId="30D88668" w:rsidR="00CC54FD" w:rsidRPr="00805627" w:rsidRDefault="00752B4C">
      <w:pPr>
        <w:numPr>
          <w:ilvl w:val="0"/>
          <w:numId w:val="4"/>
        </w:numPr>
        <w:spacing w:after="42"/>
        <w:ind w:right="301" w:hanging="360"/>
        <w:rPr>
          <w:rFonts w:ascii="Arial" w:hAnsi="Arial" w:cs="Arial"/>
        </w:rPr>
      </w:pPr>
      <w:r w:rsidRPr="00805627">
        <w:rPr>
          <w:rFonts w:ascii="Arial" w:hAnsi="Arial" w:cs="Arial"/>
        </w:rPr>
        <w:t xml:space="preserve">Futures decide to withdraw and terminate the contract due to a major breach of the </w:t>
      </w:r>
      <w:r w:rsidR="004C2AA9" w:rsidRPr="00805627">
        <w:rPr>
          <w:rFonts w:ascii="Arial" w:hAnsi="Arial" w:cs="Arial"/>
        </w:rPr>
        <w:t>contract.</w:t>
      </w:r>
      <w:r w:rsidRPr="00805627">
        <w:rPr>
          <w:rFonts w:ascii="Arial" w:hAnsi="Arial" w:cs="Arial"/>
        </w:rPr>
        <w:t xml:space="preserve"> </w:t>
      </w:r>
    </w:p>
    <w:p w14:paraId="0298EB2D" w14:textId="6A296E34" w:rsidR="00CC54FD" w:rsidRPr="00805627" w:rsidRDefault="00752B4C">
      <w:pPr>
        <w:numPr>
          <w:ilvl w:val="0"/>
          <w:numId w:val="4"/>
        </w:numPr>
        <w:spacing w:after="138"/>
        <w:ind w:right="301" w:hanging="360"/>
        <w:rPr>
          <w:rFonts w:ascii="Arial" w:hAnsi="Arial" w:cs="Arial"/>
        </w:rPr>
      </w:pPr>
      <w:r w:rsidRPr="00805627">
        <w:rPr>
          <w:rFonts w:ascii="Arial" w:hAnsi="Arial" w:cs="Arial"/>
        </w:rPr>
        <w:t xml:space="preserve">The sub-contractor withdraws and terminates the </w:t>
      </w:r>
      <w:r w:rsidR="004C2AA9" w:rsidRPr="00805627">
        <w:rPr>
          <w:rFonts w:ascii="Arial" w:hAnsi="Arial" w:cs="Arial"/>
        </w:rPr>
        <w:t>contract.</w:t>
      </w:r>
      <w:r w:rsidRPr="00805627">
        <w:rPr>
          <w:rFonts w:ascii="Arial" w:hAnsi="Arial" w:cs="Arial"/>
        </w:rPr>
        <w:t xml:space="preserve">  </w:t>
      </w:r>
    </w:p>
    <w:p w14:paraId="3F82CF40" w14:textId="77777777" w:rsidR="00CC54FD" w:rsidRPr="00805627" w:rsidRDefault="00752B4C">
      <w:pPr>
        <w:spacing w:after="213"/>
        <w:ind w:right="301"/>
        <w:rPr>
          <w:rFonts w:ascii="Arial" w:hAnsi="Arial" w:cs="Arial"/>
        </w:rPr>
      </w:pPr>
      <w:r w:rsidRPr="00805627">
        <w:rPr>
          <w:rFonts w:ascii="Arial" w:hAnsi="Arial" w:cs="Arial"/>
        </w:rPr>
        <w:t xml:space="preserve">In the event of any of the above situations, the following actions show the steps which may be taken by Futures. This list is not exhaustive and will depend on circumstantial situations.  </w:t>
      </w:r>
    </w:p>
    <w:p w14:paraId="1855A30C" w14:textId="582F5A33" w:rsidR="00CC54FD" w:rsidRPr="00805627" w:rsidRDefault="00752B4C">
      <w:pPr>
        <w:numPr>
          <w:ilvl w:val="0"/>
          <w:numId w:val="4"/>
        </w:numPr>
        <w:spacing w:after="39"/>
        <w:ind w:right="301" w:hanging="360"/>
        <w:rPr>
          <w:rFonts w:ascii="Arial" w:hAnsi="Arial" w:cs="Arial"/>
        </w:rPr>
      </w:pPr>
      <w:r w:rsidRPr="00805627">
        <w:rPr>
          <w:rFonts w:ascii="Arial" w:hAnsi="Arial" w:cs="Arial"/>
        </w:rPr>
        <w:t xml:space="preserve">The sub-contractor’s contract will be </w:t>
      </w:r>
      <w:r w:rsidR="004C2AA9" w:rsidRPr="00805627">
        <w:rPr>
          <w:rFonts w:ascii="Arial" w:hAnsi="Arial" w:cs="Arial"/>
        </w:rPr>
        <w:t>terminated,</w:t>
      </w:r>
      <w:r w:rsidRPr="00805627">
        <w:rPr>
          <w:rFonts w:ascii="Arial" w:hAnsi="Arial" w:cs="Arial"/>
        </w:rPr>
        <w:t xml:space="preserve"> and procedures detailed within the contract will be </w:t>
      </w:r>
      <w:r w:rsidR="004C2AA9" w:rsidRPr="00805627">
        <w:rPr>
          <w:rFonts w:ascii="Arial" w:hAnsi="Arial" w:cs="Arial"/>
        </w:rPr>
        <w:t>followed.</w:t>
      </w:r>
      <w:r w:rsidRPr="00805627">
        <w:rPr>
          <w:rFonts w:ascii="Arial" w:hAnsi="Arial" w:cs="Arial"/>
        </w:rPr>
        <w:t xml:space="preserve"> </w:t>
      </w:r>
    </w:p>
    <w:p w14:paraId="285CB0D8" w14:textId="2924763A" w:rsidR="00CC54FD" w:rsidRPr="00805627" w:rsidRDefault="00752B4C">
      <w:pPr>
        <w:numPr>
          <w:ilvl w:val="0"/>
          <w:numId w:val="4"/>
        </w:numPr>
        <w:spacing w:after="39"/>
        <w:ind w:right="301" w:hanging="360"/>
        <w:rPr>
          <w:rFonts w:ascii="Arial" w:hAnsi="Arial" w:cs="Arial"/>
        </w:rPr>
      </w:pPr>
      <w:r w:rsidRPr="00805627">
        <w:rPr>
          <w:rFonts w:ascii="Arial" w:hAnsi="Arial" w:cs="Arial"/>
        </w:rPr>
        <w:t xml:space="preserve">Where breaches have </w:t>
      </w:r>
      <w:r w:rsidR="005E6452" w:rsidRPr="00805627">
        <w:rPr>
          <w:rFonts w:ascii="Arial" w:hAnsi="Arial" w:cs="Arial"/>
        </w:rPr>
        <w:t>occurred,</w:t>
      </w:r>
      <w:r w:rsidRPr="00805627">
        <w:rPr>
          <w:rFonts w:ascii="Arial" w:hAnsi="Arial" w:cs="Arial"/>
        </w:rPr>
        <w:t xml:space="preserve"> the </w:t>
      </w:r>
      <w:r w:rsidR="00B6337B">
        <w:rPr>
          <w:rFonts w:ascii="Arial" w:hAnsi="Arial" w:cs="Arial"/>
        </w:rPr>
        <w:t xml:space="preserve">Department </w:t>
      </w:r>
      <w:r w:rsidRPr="00805627">
        <w:rPr>
          <w:rFonts w:ascii="Arial" w:hAnsi="Arial" w:cs="Arial"/>
        </w:rPr>
        <w:t xml:space="preserve">will be appropriately informed along with any other relevant funder and appropriate professional body </w:t>
      </w:r>
    </w:p>
    <w:p w14:paraId="06F90BC4" w14:textId="370F479A" w:rsidR="00CC54FD" w:rsidRPr="00805627" w:rsidRDefault="00752B4C">
      <w:pPr>
        <w:numPr>
          <w:ilvl w:val="0"/>
          <w:numId w:val="4"/>
        </w:numPr>
        <w:spacing w:after="26"/>
        <w:ind w:right="301" w:hanging="360"/>
        <w:rPr>
          <w:rFonts w:ascii="Arial" w:hAnsi="Arial" w:cs="Arial"/>
        </w:rPr>
      </w:pPr>
      <w:r w:rsidRPr="00805627">
        <w:rPr>
          <w:rFonts w:ascii="Arial" w:hAnsi="Arial" w:cs="Arial"/>
        </w:rPr>
        <w:t>Futures will work collaboratively with the sub-contractor to ensure a continuity of delivery for learners enrolled</w:t>
      </w:r>
      <w:r w:rsidR="00B41C9B">
        <w:rPr>
          <w:rFonts w:ascii="Arial" w:hAnsi="Arial" w:cs="Arial"/>
        </w:rPr>
        <w:t xml:space="preserve"> on to sub-contracted provision.</w:t>
      </w:r>
      <w:r w:rsidRPr="00805627">
        <w:rPr>
          <w:rFonts w:ascii="Arial" w:eastAsia="Arial" w:hAnsi="Arial" w:cs="Arial"/>
        </w:rPr>
        <w:t xml:space="preserve"> </w:t>
      </w:r>
      <w:r w:rsidRPr="00805627">
        <w:rPr>
          <w:rFonts w:ascii="Arial" w:hAnsi="Arial" w:cs="Arial"/>
        </w:rPr>
        <w:t xml:space="preserve">Futures will utilise their own delivery team to provide the teaching and learning aspects of the programme and where this is not possible use the associate model and bank to provide this </w:t>
      </w:r>
      <w:r w:rsidR="004C2AA9" w:rsidRPr="00805627">
        <w:rPr>
          <w:rFonts w:ascii="Arial" w:hAnsi="Arial" w:cs="Arial"/>
        </w:rPr>
        <w:t>service.</w:t>
      </w:r>
      <w:r w:rsidRPr="00805627">
        <w:rPr>
          <w:rFonts w:ascii="Arial" w:hAnsi="Arial" w:cs="Arial"/>
        </w:rPr>
        <w:t xml:space="preserve"> </w:t>
      </w:r>
    </w:p>
    <w:p w14:paraId="1B4501A6" w14:textId="36AEC633" w:rsidR="00CC54FD" w:rsidRPr="00805627" w:rsidRDefault="00752B4C">
      <w:pPr>
        <w:numPr>
          <w:ilvl w:val="1"/>
          <w:numId w:val="4"/>
        </w:numPr>
        <w:spacing w:after="27"/>
        <w:ind w:right="301" w:hanging="360"/>
        <w:rPr>
          <w:rFonts w:ascii="Arial" w:hAnsi="Arial" w:cs="Arial"/>
        </w:rPr>
      </w:pPr>
      <w:r w:rsidRPr="00805627">
        <w:rPr>
          <w:rFonts w:ascii="Arial" w:hAnsi="Arial" w:cs="Arial"/>
        </w:rPr>
        <w:t xml:space="preserve">Futures will use their quality assurance processes and accreditation status with awarding bodies to quality assure and certificate </w:t>
      </w:r>
      <w:r w:rsidR="004C2AA9" w:rsidRPr="00805627">
        <w:rPr>
          <w:rFonts w:ascii="Arial" w:hAnsi="Arial" w:cs="Arial"/>
        </w:rPr>
        <w:t>learners.</w:t>
      </w:r>
      <w:r w:rsidRPr="00805627">
        <w:rPr>
          <w:rFonts w:ascii="Arial" w:hAnsi="Arial" w:cs="Arial"/>
        </w:rPr>
        <w:t xml:space="preserve"> </w:t>
      </w:r>
    </w:p>
    <w:p w14:paraId="415CED8F" w14:textId="181CBF4B" w:rsidR="00CC54FD" w:rsidRPr="00805627" w:rsidRDefault="00752B4C">
      <w:pPr>
        <w:numPr>
          <w:ilvl w:val="1"/>
          <w:numId w:val="4"/>
        </w:numPr>
        <w:ind w:right="301" w:hanging="360"/>
        <w:rPr>
          <w:rFonts w:ascii="Arial" w:hAnsi="Arial" w:cs="Arial"/>
        </w:rPr>
      </w:pPr>
      <w:r w:rsidRPr="00805627">
        <w:rPr>
          <w:rFonts w:ascii="Arial" w:hAnsi="Arial" w:cs="Arial"/>
        </w:rPr>
        <w:t xml:space="preserve">Where Futures are unable to fulfil the </w:t>
      </w:r>
      <w:r w:rsidR="004C2AA9" w:rsidRPr="00805627">
        <w:rPr>
          <w:rFonts w:ascii="Arial" w:hAnsi="Arial" w:cs="Arial"/>
        </w:rPr>
        <w:t>above,</w:t>
      </w:r>
      <w:r w:rsidRPr="00805627">
        <w:rPr>
          <w:rFonts w:ascii="Arial" w:hAnsi="Arial" w:cs="Arial"/>
        </w:rPr>
        <w:t xml:space="preserve"> they will seek an alternative provider to act as a replacement sub-</w:t>
      </w:r>
      <w:r w:rsidR="004C2AA9" w:rsidRPr="00805627">
        <w:rPr>
          <w:rFonts w:ascii="Arial" w:hAnsi="Arial" w:cs="Arial"/>
        </w:rPr>
        <w:t>contractor.</w:t>
      </w:r>
      <w:r w:rsidRPr="00805627">
        <w:rPr>
          <w:rFonts w:ascii="Arial" w:hAnsi="Arial" w:cs="Arial"/>
        </w:rPr>
        <w:t xml:space="preserve"> </w:t>
      </w:r>
    </w:p>
    <w:p w14:paraId="25125FE4" w14:textId="77777777" w:rsidR="00CC54FD" w:rsidRPr="00805627" w:rsidRDefault="00752B4C">
      <w:pPr>
        <w:spacing w:after="158" w:line="259" w:lineRule="auto"/>
        <w:ind w:left="0" w:right="0" w:firstLine="0"/>
        <w:rPr>
          <w:rFonts w:ascii="Arial" w:hAnsi="Arial" w:cs="Arial"/>
        </w:rPr>
      </w:pPr>
      <w:r w:rsidRPr="00805627">
        <w:rPr>
          <w:rFonts w:ascii="Arial" w:hAnsi="Arial" w:cs="Arial"/>
        </w:rPr>
        <w:t xml:space="preserve"> </w:t>
      </w:r>
    </w:p>
    <w:p w14:paraId="4CF5789B" w14:textId="782707DD" w:rsidR="00CC54FD" w:rsidRDefault="00752B4C" w:rsidP="00E32B9E">
      <w:pPr>
        <w:ind w:left="10" w:right="301"/>
      </w:pPr>
      <w:r w:rsidRPr="00805627">
        <w:rPr>
          <w:rFonts w:ascii="Arial" w:hAnsi="Arial" w:cs="Arial"/>
        </w:rPr>
        <w:t xml:space="preserve">You can access our current Subcontracting </w:t>
      </w:r>
      <w:r w:rsidR="00B6337B">
        <w:rPr>
          <w:rFonts w:ascii="Arial" w:hAnsi="Arial" w:cs="Arial"/>
        </w:rPr>
        <w:t xml:space="preserve">Management </w:t>
      </w:r>
      <w:r w:rsidRPr="00805627">
        <w:rPr>
          <w:rFonts w:ascii="Arial" w:hAnsi="Arial" w:cs="Arial"/>
        </w:rPr>
        <w:t xml:space="preserve">Policy on our group website. Please go to </w:t>
      </w:r>
      <w:hyperlink r:id="rId9" w:history="1">
        <w:r w:rsidR="00E32B9E" w:rsidRPr="00EF350D">
          <w:rPr>
            <w:rStyle w:val="Hyperlink"/>
          </w:rPr>
          <w:t>https://www.futuresadvice.org/</w:t>
        </w:r>
      </w:hyperlink>
      <w:r w:rsidR="00E32B9E">
        <w:t xml:space="preserve"> </w:t>
      </w:r>
      <w:hyperlink r:id="rId10">
        <w:r w:rsidRPr="00805627">
          <w:rPr>
            <w:rFonts w:ascii="Arial" w:hAnsi="Arial" w:cs="Arial"/>
            <w:color w:val="1F497D"/>
          </w:rPr>
          <w:t xml:space="preserve"> </w:t>
        </w:r>
      </w:hyperlink>
      <w:r w:rsidRPr="00805627">
        <w:rPr>
          <w:rFonts w:ascii="Arial" w:hAnsi="Arial" w:cs="Arial"/>
        </w:rPr>
        <w:t>and search for policies</w:t>
      </w:r>
      <w:r>
        <w:t xml:space="preserve">. </w:t>
      </w:r>
    </w:p>
    <w:p w14:paraId="0B53F93F" w14:textId="62ECCFE4" w:rsidR="00EA130F" w:rsidRDefault="00EA130F">
      <w:pPr>
        <w:ind w:left="10" w:right="301"/>
        <w:rPr>
          <w:b/>
          <w:bCs/>
        </w:rPr>
      </w:pPr>
      <w:r>
        <w:rPr>
          <w:b/>
          <w:bCs/>
        </w:rPr>
        <w:t>Appendix 1: Performance Management</w:t>
      </w:r>
      <w:r w:rsidR="008B0D90">
        <w:rPr>
          <w:b/>
          <w:bCs/>
        </w:rPr>
        <w:t xml:space="preserve"> Framework</w:t>
      </w:r>
    </w:p>
    <w:p w14:paraId="781527C5" w14:textId="77777777" w:rsidR="008B0D90" w:rsidRPr="00A276E1" w:rsidRDefault="008B0D90" w:rsidP="008B0D90">
      <w:pPr>
        <w:spacing w:after="0" w:line="240" w:lineRule="auto"/>
        <w:rPr>
          <w:rFonts w:ascii="Arial" w:hAnsi="Arial" w:cs="Arial"/>
          <w:b/>
          <w:bCs/>
        </w:rPr>
      </w:pPr>
      <w:r w:rsidRPr="00A276E1">
        <w:rPr>
          <w:rFonts w:ascii="Arial" w:hAnsi="Arial" w:cs="Arial"/>
          <w:b/>
          <w:bCs/>
        </w:rPr>
        <w:t xml:space="preserve">Communication </w:t>
      </w:r>
    </w:p>
    <w:p w14:paraId="5EA3A980" w14:textId="77777777" w:rsidR="008B0D90" w:rsidRPr="00A276E1" w:rsidRDefault="008B0D90" w:rsidP="008B0D90">
      <w:pPr>
        <w:spacing w:after="0" w:line="240" w:lineRule="auto"/>
        <w:rPr>
          <w:rFonts w:ascii="Arial" w:hAnsi="Arial" w:cs="Arial"/>
        </w:rPr>
      </w:pPr>
    </w:p>
    <w:p w14:paraId="47AA73EF" w14:textId="77777777" w:rsidR="008B0D90" w:rsidRPr="00D76DFE" w:rsidRDefault="008B0D90" w:rsidP="008B0D90">
      <w:pPr>
        <w:spacing w:after="0" w:line="240" w:lineRule="auto"/>
        <w:rPr>
          <w:b/>
          <w:bCs/>
        </w:rPr>
      </w:pPr>
      <w:r w:rsidRPr="00D76DFE">
        <w:rPr>
          <w:b/>
          <w:bCs/>
        </w:rPr>
        <w:t xml:space="preserve">Profile/Forecasting Review </w:t>
      </w:r>
    </w:p>
    <w:p w14:paraId="712E68E5" w14:textId="77777777" w:rsidR="008B0D90" w:rsidRPr="00D76DFE" w:rsidRDefault="008B0D90" w:rsidP="008B0D90">
      <w:pPr>
        <w:pStyle w:val="ListParagraph"/>
        <w:numPr>
          <w:ilvl w:val="0"/>
          <w:numId w:val="5"/>
        </w:numPr>
        <w:spacing w:after="0" w:line="240" w:lineRule="auto"/>
        <w:rPr>
          <w:rFonts w:ascii="Calibri" w:hAnsi="Calibri" w:cs="Calibri"/>
        </w:rPr>
      </w:pPr>
      <w:r w:rsidRPr="00D76DFE">
        <w:rPr>
          <w:rFonts w:ascii="Calibri" w:hAnsi="Calibri" w:cs="Calibri"/>
        </w:rPr>
        <w:lastRenderedPageBreak/>
        <w:t>Frequency: Fortnightly</w:t>
      </w:r>
    </w:p>
    <w:p w14:paraId="1C7B0790" w14:textId="77777777" w:rsidR="008B0D90" w:rsidRPr="00D76DFE" w:rsidRDefault="008B0D90" w:rsidP="008B0D90">
      <w:pPr>
        <w:pStyle w:val="ListParagraph"/>
        <w:numPr>
          <w:ilvl w:val="0"/>
          <w:numId w:val="5"/>
        </w:numPr>
        <w:spacing w:after="0" w:line="240" w:lineRule="auto"/>
        <w:rPr>
          <w:rFonts w:ascii="Calibri" w:hAnsi="Calibri" w:cs="Calibri"/>
        </w:rPr>
      </w:pPr>
      <w:r w:rsidRPr="00D76DFE">
        <w:rPr>
          <w:rFonts w:ascii="Calibri" w:hAnsi="Calibri" w:cs="Calibri"/>
        </w:rPr>
        <w:t xml:space="preserve">Attendees </w:t>
      </w:r>
    </w:p>
    <w:p w14:paraId="36DDE838"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Contract Managers (both sides)</w:t>
      </w:r>
    </w:p>
    <w:p w14:paraId="7A227C10"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Admin and Compliance Lead</w:t>
      </w:r>
    </w:p>
    <w:p w14:paraId="17FE7C35" w14:textId="77777777" w:rsidR="008B0D90" w:rsidRPr="00D76DFE" w:rsidRDefault="008B0D90" w:rsidP="008B0D90">
      <w:pPr>
        <w:pStyle w:val="ListParagraph"/>
        <w:numPr>
          <w:ilvl w:val="0"/>
          <w:numId w:val="5"/>
        </w:numPr>
        <w:spacing w:after="0" w:line="240" w:lineRule="auto"/>
        <w:rPr>
          <w:rFonts w:ascii="Calibri" w:hAnsi="Calibri" w:cs="Calibri"/>
        </w:rPr>
      </w:pPr>
      <w:r w:rsidRPr="00D76DFE">
        <w:rPr>
          <w:rFonts w:ascii="Calibri" w:hAnsi="Calibri" w:cs="Calibri"/>
        </w:rPr>
        <w:t xml:space="preserve">Agenda to include: </w:t>
      </w:r>
    </w:p>
    <w:p w14:paraId="18EFC39D"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 xml:space="preserve">Performance against starts, in learning and achievers, progressions </w:t>
      </w:r>
    </w:p>
    <w:p w14:paraId="41302704"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 xml:space="preserve">Compliance issues </w:t>
      </w:r>
    </w:p>
    <w:p w14:paraId="6F559B25"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 xml:space="preserve">Expected financial output </w:t>
      </w:r>
    </w:p>
    <w:p w14:paraId="422DBA5A"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 xml:space="preserve">Risks </w:t>
      </w:r>
    </w:p>
    <w:p w14:paraId="6F52D55A"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 xml:space="preserve">Areas of concern </w:t>
      </w:r>
    </w:p>
    <w:p w14:paraId="57CFC28C"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 xml:space="preserve">Safeguarding  </w:t>
      </w:r>
    </w:p>
    <w:p w14:paraId="58676194" w14:textId="77777777" w:rsidR="008B0D90" w:rsidRPr="00D76DFE" w:rsidRDefault="008B0D90" w:rsidP="008B0D90">
      <w:pPr>
        <w:spacing w:after="0" w:line="240" w:lineRule="auto"/>
        <w:rPr>
          <w:b/>
          <w:bCs/>
        </w:rPr>
      </w:pPr>
    </w:p>
    <w:p w14:paraId="11175A1D" w14:textId="77777777" w:rsidR="008B0D90" w:rsidRPr="00D76DFE" w:rsidRDefault="008B0D90" w:rsidP="008B0D90">
      <w:pPr>
        <w:spacing w:after="0" w:line="240" w:lineRule="auto"/>
        <w:rPr>
          <w:b/>
          <w:bCs/>
        </w:rPr>
      </w:pPr>
      <w:r w:rsidRPr="00D76DFE">
        <w:rPr>
          <w:b/>
          <w:bCs/>
        </w:rPr>
        <w:t xml:space="preserve">Performance Review Meeting </w:t>
      </w:r>
    </w:p>
    <w:p w14:paraId="47E8BADD" w14:textId="77777777" w:rsidR="008B0D90" w:rsidRPr="00D76DFE" w:rsidRDefault="008B0D90" w:rsidP="008B0D90">
      <w:pPr>
        <w:pStyle w:val="ListParagraph"/>
        <w:numPr>
          <w:ilvl w:val="0"/>
          <w:numId w:val="5"/>
        </w:numPr>
        <w:spacing w:after="0" w:line="240" w:lineRule="auto"/>
        <w:rPr>
          <w:rFonts w:ascii="Calibri" w:hAnsi="Calibri" w:cs="Calibri"/>
        </w:rPr>
      </w:pPr>
      <w:r w:rsidRPr="00D76DFE">
        <w:rPr>
          <w:rFonts w:ascii="Calibri" w:hAnsi="Calibri" w:cs="Calibri"/>
        </w:rPr>
        <w:t xml:space="preserve">Frequency: Monthly </w:t>
      </w:r>
    </w:p>
    <w:p w14:paraId="46559031" w14:textId="77777777" w:rsidR="008B0D90" w:rsidRPr="00D76DFE" w:rsidRDefault="008B0D90" w:rsidP="008B0D90">
      <w:pPr>
        <w:pStyle w:val="ListParagraph"/>
        <w:numPr>
          <w:ilvl w:val="0"/>
          <w:numId w:val="5"/>
        </w:numPr>
        <w:spacing w:after="0" w:line="240" w:lineRule="auto"/>
        <w:rPr>
          <w:rFonts w:ascii="Calibri" w:hAnsi="Calibri" w:cs="Calibri"/>
        </w:rPr>
      </w:pPr>
      <w:r w:rsidRPr="00D76DFE">
        <w:rPr>
          <w:rFonts w:ascii="Calibri" w:hAnsi="Calibri" w:cs="Calibri"/>
        </w:rPr>
        <w:t xml:space="preserve">Attendees </w:t>
      </w:r>
    </w:p>
    <w:p w14:paraId="5B8994D2"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Contract Managers (both sides)</w:t>
      </w:r>
    </w:p>
    <w:p w14:paraId="481F2124"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Quality/Teaching and Learning Lead</w:t>
      </w:r>
    </w:p>
    <w:p w14:paraId="6D474EA6"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Engagement Lead</w:t>
      </w:r>
    </w:p>
    <w:p w14:paraId="63A117B6"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Admin and Compliance Lead</w:t>
      </w:r>
    </w:p>
    <w:p w14:paraId="3617800D" w14:textId="77777777" w:rsidR="008B0D90" w:rsidRPr="00D76DFE" w:rsidRDefault="008B0D90" w:rsidP="008B0D90">
      <w:pPr>
        <w:pStyle w:val="ListParagraph"/>
        <w:numPr>
          <w:ilvl w:val="0"/>
          <w:numId w:val="5"/>
        </w:numPr>
        <w:spacing w:after="0" w:line="240" w:lineRule="auto"/>
        <w:rPr>
          <w:rFonts w:ascii="Calibri" w:hAnsi="Calibri" w:cs="Calibri"/>
        </w:rPr>
      </w:pPr>
      <w:r w:rsidRPr="00D76DFE">
        <w:rPr>
          <w:rFonts w:ascii="Calibri" w:hAnsi="Calibri" w:cs="Calibri"/>
        </w:rPr>
        <w:t xml:space="preserve">Agenda to include: </w:t>
      </w:r>
    </w:p>
    <w:p w14:paraId="3E9851E2"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 xml:space="preserve">KPI Performance and progress of contract </w:t>
      </w:r>
    </w:p>
    <w:p w14:paraId="748A18CD"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 xml:space="preserve">Learner and Employer Feedback </w:t>
      </w:r>
    </w:p>
    <w:p w14:paraId="70E6582C"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 xml:space="preserve">Progress of learners </w:t>
      </w:r>
    </w:p>
    <w:p w14:paraId="4FD178CF"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 xml:space="preserve">Awarding Body updates </w:t>
      </w:r>
    </w:p>
    <w:p w14:paraId="32147B89"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Safeguarding/Health and Safety updates/issues or concerns from all programmes (learners/employers)</w:t>
      </w:r>
    </w:p>
    <w:p w14:paraId="56D4048B"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 xml:space="preserve">Any recent alerts or activity that could affect staff/learners/sites  </w:t>
      </w:r>
    </w:p>
    <w:p w14:paraId="1EBF372B"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Recent training, staff mandatory training or updates</w:t>
      </w:r>
    </w:p>
    <w:p w14:paraId="28B42AF7" w14:textId="77777777" w:rsidR="008B0D90" w:rsidRPr="00D76DFE" w:rsidRDefault="008B0D90" w:rsidP="008B0D90">
      <w:pPr>
        <w:spacing w:after="0" w:line="240" w:lineRule="auto"/>
        <w:rPr>
          <w:b/>
          <w:bCs/>
        </w:rPr>
      </w:pPr>
    </w:p>
    <w:p w14:paraId="22E0FE01" w14:textId="77777777" w:rsidR="008B0D90" w:rsidRPr="00D76DFE" w:rsidRDefault="008B0D90" w:rsidP="008B0D90">
      <w:pPr>
        <w:spacing w:after="0" w:line="240" w:lineRule="auto"/>
        <w:rPr>
          <w:b/>
          <w:bCs/>
        </w:rPr>
      </w:pPr>
      <w:r w:rsidRPr="00D76DFE">
        <w:rPr>
          <w:b/>
          <w:bCs/>
        </w:rPr>
        <w:t>Self-Assessment and QIP Review</w:t>
      </w:r>
    </w:p>
    <w:p w14:paraId="2C7D2FA7" w14:textId="77777777" w:rsidR="008B0D90" w:rsidRPr="00D76DFE" w:rsidRDefault="008B0D90" w:rsidP="008B0D90">
      <w:pPr>
        <w:pStyle w:val="ListParagraph"/>
        <w:numPr>
          <w:ilvl w:val="0"/>
          <w:numId w:val="5"/>
        </w:numPr>
        <w:spacing w:after="0" w:line="240" w:lineRule="auto"/>
        <w:rPr>
          <w:rFonts w:ascii="Calibri" w:hAnsi="Calibri" w:cs="Calibri"/>
        </w:rPr>
      </w:pPr>
      <w:r w:rsidRPr="00D76DFE">
        <w:rPr>
          <w:rFonts w:ascii="Calibri" w:hAnsi="Calibri" w:cs="Calibri"/>
        </w:rPr>
        <w:t xml:space="preserve">Frequency: Quarterly </w:t>
      </w:r>
    </w:p>
    <w:p w14:paraId="5999D17D" w14:textId="77777777" w:rsidR="008B0D90" w:rsidRPr="00D76DFE" w:rsidRDefault="008B0D90" w:rsidP="008B0D90">
      <w:pPr>
        <w:pStyle w:val="ListParagraph"/>
        <w:numPr>
          <w:ilvl w:val="0"/>
          <w:numId w:val="5"/>
        </w:numPr>
        <w:spacing w:after="0" w:line="240" w:lineRule="auto"/>
        <w:rPr>
          <w:rFonts w:ascii="Calibri" w:hAnsi="Calibri" w:cs="Calibri"/>
        </w:rPr>
      </w:pPr>
      <w:r w:rsidRPr="00D76DFE">
        <w:rPr>
          <w:rFonts w:ascii="Calibri" w:hAnsi="Calibri" w:cs="Calibri"/>
        </w:rPr>
        <w:t xml:space="preserve">Attendees </w:t>
      </w:r>
    </w:p>
    <w:p w14:paraId="7D068E9C"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Contract Managers (both sides)</w:t>
      </w:r>
    </w:p>
    <w:p w14:paraId="7F99ED94"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Quality/Teaching and Learning Lead</w:t>
      </w:r>
    </w:p>
    <w:p w14:paraId="4F3C5128"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Engagement Lead</w:t>
      </w:r>
    </w:p>
    <w:p w14:paraId="58025840" w14:textId="77777777" w:rsidR="008B0D90" w:rsidRPr="00D76DFE" w:rsidRDefault="008B0D90" w:rsidP="008B0D90">
      <w:pPr>
        <w:pStyle w:val="ListParagraph"/>
        <w:numPr>
          <w:ilvl w:val="0"/>
          <w:numId w:val="5"/>
        </w:numPr>
        <w:spacing w:after="0" w:line="240" w:lineRule="auto"/>
        <w:rPr>
          <w:rFonts w:ascii="Calibri" w:hAnsi="Calibri" w:cs="Calibri"/>
        </w:rPr>
      </w:pPr>
      <w:r w:rsidRPr="00D76DFE">
        <w:rPr>
          <w:rFonts w:ascii="Calibri" w:hAnsi="Calibri" w:cs="Calibri"/>
        </w:rPr>
        <w:t xml:space="preserve">Agenda to include: </w:t>
      </w:r>
    </w:p>
    <w:p w14:paraId="6D007E97"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 xml:space="preserve">Progress against areas for improvements </w:t>
      </w:r>
    </w:p>
    <w:p w14:paraId="470563E9"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 xml:space="preserve">New/emerging strengths </w:t>
      </w:r>
    </w:p>
    <w:p w14:paraId="34D6C1A1"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 xml:space="preserve">Progress against QIP and % progress on track </w:t>
      </w:r>
    </w:p>
    <w:p w14:paraId="2DCF0B1E"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 xml:space="preserve">New areas of risk or concern and mitigating actions </w:t>
      </w:r>
    </w:p>
    <w:p w14:paraId="7AEA3844" w14:textId="77777777" w:rsidR="008B0D90" w:rsidRPr="00D76DFE" w:rsidRDefault="008B0D90" w:rsidP="008B0D90">
      <w:pPr>
        <w:spacing w:after="0" w:line="240" w:lineRule="auto"/>
      </w:pPr>
    </w:p>
    <w:p w14:paraId="067D75A7" w14:textId="77777777" w:rsidR="008B0D90" w:rsidRPr="00D76DFE" w:rsidRDefault="008B0D90" w:rsidP="008B0D90">
      <w:pPr>
        <w:spacing w:after="0" w:line="240" w:lineRule="auto"/>
        <w:rPr>
          <w:b/>
          <w:bCs/>
        </w:rPr>
      </w:pPr>
      <w:r w:rsidRPr="00D76DFE">
        <w:rPr>
          <w:b/>
          <w:bCs/>
        </w:rPr>
        <w:t>Compliance Audit (in addition to monthly checks)</w:t>
      </w:r>
    </w:p>
    <w:p w14:paraId="16173F58" w14:textId="77777777" w:rsidR="008B0D90" w:rsidRPr="00D76DFE" w:rsidRDefault="008B0D90" w:rsidP="008B0D90">
      <w:pPr>
        <w:pStyle w:val="ListParagraph"/>
        <w:numPr>
          <w:ilvl w:val="0"/>
          <w:numId w:val="5"/>
        </w:numPr>
        <w:spacing w:after="0" w:line="240" w:lineRule="auto"/>
        <w:rPr>
          <w:rFonts w:ascii="Calibri" w:hAnsi="Calibri" w:cs="Calibri"/>
        </w:rPr>
      </w:pPr>
      <w:r w:rsidRPr="00D76DFE">
        <w:rPr>
          <w:rFonts w:ascii="Calibri" w:hAnsi="Calibri" w:cs="Calibri"/>
        </w:rPr>
        <w:t xml:space="preserve">Frequency: Six monthly </w:t>
      </w:r>
    </w:p>
    <w:p w14:paraId="14E5C4E0" w14:textId="77777777" w:rsidR="008B0D90" w:rsidRPr="00D76DFE" w:rsidRDefault="008B0D90" w:rsidP="008B0D90">
      <w:pPr>
        <w:pStyle w:val="ListParagraph"/>
        <w:numPr>
          <w:ilvl w:val="0"/>
          <w:numId w:val="5"/>
        </w:numPr>
        <w:spacing w:after="0" w:line="240" w:lineRule="auto"/>
        <w:rPr>
          <w:rFonts w:ascii="Calibri" w:hAnsi="Calibri" w:cs="Calibri"/>
        </w:rPr>
      </w:pPr>
      <w:r w:rsidRPr="00D76DFE">
        <w:rPr>
          <w:rFonts w:ascii="Calibri" w:hAnsi="Calibri" w:cs="Calibri"/>
        </w:rPr>
        <w:t xml:space="preserve">Attendees </w:t>
      </w:r>
    </w:p>
    <w:p w14:paraId="4DBE77CD"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Contract Managers (both sides)</w:t>
      </w:r>
    </w:p>
    <w:p w14:paraId="1F06D6AE"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Admin and Compliance Lead</w:t>
      </w:r>
    </w:p>
    <w:p w14:paraId="64669791" w14:textId="77777777" w:rsidR="008B0D90" w:rsidRPr="00D76DFE" w:rsidRDefault="008B0D90" w:rsidP="008B0D90">
      <w:pPr>
        <w:pStyle w:val="ListParagraph"/>
        <w:numPr>
          <w:ilvl w:val="0"/>
          <w:numId w:val="5"/>
        </w:numPr>
        <w:spacing w:after="0" w:line="240" w:lineRule="auto"/>
        <w:rPr>
          <w:rFonts w:ascii="Calibri" w:hAnsi="Calibri" w:cs="Calibri"/>
        </w:rPr>
      </w:pPr>
      <w:r w:rsidRPr="00D76DFE">
        <w:rPr>
          <w:rFonts w:ascii="Calibri" w:hAnsi="Calibri" w:cs="Calibri"/>
        </w:rPr>
        <w:t xml:space="preserve">Agenda to include but not limited to: </w:t>
      </w:r>
    </w:p>
    <w:p w14:paraId="4ED18505"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 xml:space="preserve">Full audit of department/contractor work </w:t>
      </w:r>
    </w:p>
    <w:p w14:paraId="56E8E782"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 xml:space="preserve">Registration details </w:t>
      </w:r>
    </w:p>
    <w:p w14:paraId="40064623"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lastRenderedPageBreak/>
        <w:t xml:space="preserve">ILR errors </w:t>
      </w:r>
    </w:p>
    <w:p w14:paraId="4BBD735F"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 xml:space="preserve">Clearing of outstanding errors and reconciliation </w:t>
      </w:r>
    </w:p>
    <w:p w14:paraId="3DFFE85E" w14:textId="77777777" w:rsidR="008B0D90" w:rsidRPr="00D76DFE" w:rsidRDefault="008B0D90" w:rsidP="008B0D90">
      <w:pPr>
        <w:pStyle w:val="ListParagraph"/>
        <w:numPr>
          <w:ilvl w:val="1"/>
          <w:numId w:val="5"/>
        </w:numPr>
        <w:spacing w:after="0" w:line="240" w:lineRule="auto"/>
        <w:rPr>
          <w:rFonts w:ascii="Calibri" w:hAnsi="Calibri" w:cs="Calibri"/>
        </w:rPr>
      </w:pPr>
      <w:r w:rsidRPr="00D76DFE">
        <w:rPr>
          <w:rFonts w:ascii="Calibri" w:hAnsi="Calibri" w:cs="Calibri"/>
        </w:rPr>
        <w:t xml:space="preserve">Off the job hours </w:t>
      </w:r>
    </w:p>
    <w:p w14:paraId="1D82245C" w14:textId="77777777" w:rsidR="008B0D90" w:rsidRPr="00D76DFE" w:rsidRDefault="008B0D90" w:rsidP="008B0D90">
      <w:pPr>
        <w:spacing w:after="0" w:line="240" w:lineRule="auto"/>
      </w:pPr>
    </w:p>
    <w:p w14:paraId="24B99878" w14:textId="77777777" w:rsidR="008B0D90" w:rsidRPr="00D76DFE" w:rsidRDefault="008B0D90" w:rsidP="008B0D90">
      <w:pPr>
        <w:spacing w:after="0" w:line="240" w:lineRule="auto"/>
        <w:rPr>
          <w:b/>
          <w:bCs/>
        </w:rPr>
      </w:pPr>
      <w:r w:rsidRPr="00D76DFE">
        <w:rPr>
          <w:b/>
          <w:bCs/>
        </w:rPr>
        <w:t xml:space="preserve">Reporting </w:t>
      </w:r>
    </w:p>
    <w:p w14:paraId="7F1AEC29" w14:textId="77777777" w:rsidR="008B0D90" w:rsidRPr="00D76DFE" w:rsidRDefault="008B0D90" w:rsidP="008B0D90">
      <w:pPr>
        <w:spacing w:after="0" w:line="240" w:lineRule="auto"/>
      </w:pPr>
    </w:p>
    <w:p w14:paraId="46E2E66B" w14:textId="77777777" w:rsidR="008B0D90" w:rsidRPr="00D76DFE" w:rsidRDefault="008B0D90" w:rsidP="008B0D90">
      <w:pPr>
        <w:spacing w:after="0" w:line="240" w:lineRule="auto"/>
      </w:pPr>
      <w:proofErr w:type="gramStart"/>
      <w:r w:rsidRPr="00D76DFE">
        <w:t>In order to</w:t>
      </w:r>
      <w:proofErr w:type="gramEnd"/>
      <w:r w:rsidRPr="00D76DFE">
        <w:t xml:space="preserve"> allow for accurate compliance measures to be in place the following table outlines the dates and information required for Adult Education contracts: </w:t>
      </w:r>
    </w:p>
    <w:p w14:paraId="09AE64BA" w14:textId="77777777" w:rsidR="008B0D90" w:rsidRPr="00D76DFE" w:rsidRDefault="008B0D90" w:rsidP="008B0D90">
      <w:pPr>
        <w:spacing w:after="0" w:line="240" w:lineRule="auto"/>
      </w:pPr>
    </w:p>
    <w:tbl>
      <w:tblPr>
        <w:tblStyle w:val="TableGrid0"/>
        <w:tblW w:w="0" w:type="auto"/>
        <w:tblLook w:val="04A0" w:firstRow="1" w:lastRow="0" w:firstColumn="1" w:lastColumn="0" w:noHBand="0" w:noVBand="1"/>
      </w:tblPr>
      <w:tblGrid>
        <w:gridCol w:w="3005"/>
        <w:gridCol w:w="3005"/>
        <w:gridCol w:w="3006"/>
      </w:tblGrid>
      <w:tr w:rsidR="008B0D90" w:rsidRPr="00D76DFE" w14:paraId="14510953" w14:textId="77777777" w:rsidTr="00196C28">
        <w:tc>
          <w:tcPr>
            <w:tcW w:w="3005" w:type="dxa"/>
          </w:tcPr>
          <w:p w14:paraId="025ADC7C" w14:textId="77777777" w:rsidR="008B0D90" w:rsidRPr="00D76DFE" w:rsidRDefault="008B0D90" w:rsidP="00196C28">
            <w:r w:rsidRPr="00D76DFE">
              <w:t>Area</w:t>
            </w:r>
          </w:p>
        </w:tc>
        <w:tc>
          <w:tcPr>
            <w:tcW w:w="3005" w:type="dxa"/>
          </w:tcPr>
          <w:p w14:paraId="72C93B43" w14:textId="77777777" w:rsidR="008B0D90" w:rsidRPr="00D76DFE" w:rsidRDefault="008B0D90" w:rsidP="00196C28">
            <w:r w:rsidRPr="00D76DFE">
              <w:t>Cut off</w:t>
            </w:r>
          </w:p>
        </w:tc>
        <w:tc>
          <w:tcPr>
            <w:tcW w:w="3006" w:type="dxa"/>
          </w:tcPr>
          <w:p w14:paraId="2CF37EB7" w14:textId="77777777" w:rsidR="008B0D90" w:rsidRPr="00D76DFE" w:rsidRDefault="008B0D90" w:rsidP="00196C28">
            <w:r w:rsidRPr="00D76DFE">
              <w:t xml:space="preserve">Requirement </w:t>
            </w:r>
          </w:p>
        </w:tc>
      </w:tr>
      <w:tr w:rsidR="008B0D90" w:rsidRPr="00D76DFE" w14:paraId="1CC19C41" w14:textId="77777777" w:rsidTr="00196C28">
        <w:tc>
          <w:tcPr>
            <w:tcW w:w="3005" w:type="dxa"/>
          </w:tcPr>
          <w:p w14:paraId="03DF7CA3" w14:textId="77777777" w:rsidR="008B0D90" w:rsidRPr="00D76DFE" w:rsidRDefault="008B0D90" w:rsidP="00196C28">
            <w:r w:rsidRPr="00D76DFE">
              <w:t xml:space="preserve">Start Paperwork </w:t>
            </w:r>
          </w:p>
        </w:tc>
        <w:tc>
          <w:tcPr>
            <w:tcW w:w="3005" w:type="dxa"/>
          </w:tcPr>
          <w:p w14:paraId="2FBD37A2" w14:textId="77777777" w:rsidR="008B0D90" w:rsidRPr="00D76DFE" w:rsidRDefault="008B0D90" w:rsidP="00196C28">
            <w:r w:rsidRPr="00D76DFE">
              <w:t>24</w:t>
            </w:r>
            <w:r w:rsidRPr="00D76DFE">
              <w:rPr>
                <w:vertAlign w:val="superscript"/>
              </w:rPr>
              <w:t>th</w:t>
            </w:r>
            <w:r w:rsidRPr="00D76DFE">
              <w:t xml:space="preserve"> of the month </w:t>
            </w:r>
          </w:p>
        </w:tc>
        <w:tc>
          <w:tcPr>
            <w:tcW w:w="3006" w:type="dxa"/>
          </w:tcPr>
          <w:p w14:paraId="090C0118" w14:textId="77777777" w:rsidR="008B0D90" w:rsidRPr="00D76DFE" w:rsidRDefault="008B0D90" w:rsidP="00196C28">
            <w:r w:rsidRPr="00D76DFE">
              <w:t>Part A</w:t>
            </w:r>
          </w:p>
          <w:p w14:paraId="2C92B4E3" w14:textId="77777777" w:rsidR="008B0D90" w:rsidRPr="00D76DFE" w:rsidRDefault="008B0D90" w:rsidP="00196C28">
            <w:r w:rsidRPr="00D76DFE">
              <w:t>Part B</w:t>
            </w:r>
          </w:p>
          <w:p w14:paraId="133220AA" w14:textId="77777777" w:rsidR="008B0D90" w:rsidRPr="00D76DFE" w:rsidRDefault="008B0D90" w:rsidP="00196C28">
            <w:r w:rsidRPr="00D76DFE">
              <w:t>Individual Learning Plan</w:t>
            </w:r>
          </w:p>
          <w:p w14:paraId="051BD614" w14:textId="77777777" w:rsidR="008B0D90" w:rsidRPr="00D76DFE" w:rsidRDefault="008B0D90" w:rsidP="00196C28">
            <w:r w:rsidRPr="00D76DFE">
              <w:t xml:space="preserve">Health and Safety paperwork </w:t>
            </w:r>
          </w:p>
          <w:p w14:paraId="17F07936" w14:textId="77777777" w:rsidR="008B0D90" w:rsidRPr="00D76DFE" w:rsidRDefault="008B0D90" w:rsidP="00196C28">
            <w:r w:rsidRPr="00D76DFE">
              <w:t xml:space="preserve">Initial assessments </w:t>
            </w:r>
          </w:p>
          <w:p w14:paraId="7F66CC14" w14:textId="77777777" w:rsidR="008B0D90" w:rsidRPr="00D76DFE" w:rsidRDefault="008B0D90" w:rsidP="00196C28">
            <w:r w:rsidRPr="00D76DFE">
              <w:t>Prior Learning Record</w:t>
            </w:r>
          </w:p>
          <w:p w14:paraId="25B015B3" w14:textId="77777777" w:rsidR="008B0D90" w:rsidRPr="00D76DFE" w:rsidRDefault="008B0D90" w:rsidP="00196C28">
            <w:r w:rsidRPr="00D76DFE">
              <w:t xml:space="preserve">Skills Scans </w:t>
            </w:r>
          </w:p>
          <w:p w14:paraId="6F3D465F" w14:textId="77777777" w:rsidR="008B0D90" w:rsidRPr="00D76DFE" w:rsidRDefault="008B0D90" w:rsidP="00196C28">
            <w:r w:rsidRPr="00D76DFE">
              <w:t>Evidence of starting learning</w:t>
            </w:r>
          </w:p>
        </w:tc>
      </w:tr>
      <w:tr w:rsidR="008B0D90" w:rsidRPr="00D76DFE" w14:paraId="2696A462" w14:textId="77777777" w:rsidTr="00196C28">
        <w:tc>
          <w:tcPr>
            <w:tcW w:w="3005" w:type="dxa"/>
          </w:tcPr>
          <w:p w14:paraId="4A943943" w14:textId="77777777" w:rsidR="008B0D90" w:rsidRPr="00D76DFE" w:rsidRDefault="008B0D90" w:rsidP="00196C28">
            <w:r w:rsidRPr="00D76DFE">
              <w:t xml:space="preserve">Achievement Paperwork </w:t>
            </w:r>
          </w:p>
        </w:tc>
        <w:tc>
          <w:tcPr>
            <w:tcW w:w="3005" w:type="dxa"/>
          </w:tcPr>
          <w:p w14:paraId="33659C67" w14:textId="77777777" w:rsidR="008B0D90" w:rsidRPr="00D76DFE" w:rsidRDefault="008B0D90" w:rsidP="00196C28">
            <w:r w:rsidRPr="00D76DFE">
              <w:t>24</w:t>
            </w:r>
            <w:r w:rsidRPr="00D76DFE">
              <w:rPr>
                <w:vertAlign w:val="superscript"/>
              </w:rPr>
              <w:t>th</w:t>
            </w:r>
            <w:r w:rsidRPr="00D76DFE">
              <w:t xml:space="preserve"> of the month</w:t>
            </w:r>
          </w:p>
        </w:tc>
        <w:tc>
          <w:tcPr>
            <w:tcW w:w="3006" w:type="dxa"/>
          </w:tcPr>
          <w:p w14:paraId="5C2DE5D2" w14:textId="77777777" w:rsidR="008B0D90" w:rsidRPr="00D76DFE" w:rsidRDefault="008B0D90" w:rsidP="00196C28">
            <w:r w:rsidRPr="00D76DFE">
              <w:t>Updated Individual Learning Plan</w:t>
            </w:r>
          </w:p>
          <w:p w14:paraId="67D6914A" w14:textId="77777777" w:rsidR="008B0D90" w:rsidRPr="00D76DFE" w:rsidRDefault="008B0D90" w:rsidP="00196C28">
            <w:r w:rsidRPr="00D76DFE">
              <w:t>Evidence of progression</w:t>
            </w:r>
          </w:p>
          <w:p w14:paraId="2D90A238" w14:textId="77777777" w:rsidR="008B0D90" w:rsidRPr="00D76DFE" w:rsidRDefault="008B0D90" w:rsidP="00196C28">
            <w:r w:rsidRPr="00D76DFE">
              <w:t xml:space="preserve">IQA record </w:t>
            </w:r>
          </w:p>
          <w:p w14:paraId="20AC0C1F" w14:textId="77777777" w:rsidR="008B0D90" w:rsidRPr="00D76DFE" w:rsidRDefault="008B0D90" w:rsidP="00196C28">
            <w:r w:rsidRPr="00D76DFE">
              <w:t xml:space="preserve">EPA evidence </w:t>
            </w:r>
          </w:p>
          <w:p w14:paraId="0359C992" w14:textId="77777777" w:rsidR="008B0D90" w:rsidRPr="00D76DFE" w:rsidRDefault="008B0D90" w:rsidP="00196C28">
            <w:r w:rsidRPr="00D76DFE">
              <w:t xml:space="preserve">Certificate </w:t>
            </w:r>
          </w:p>
        </w:tc>
      </w:tr>
      <w:tr w:rsidR="008B0D90" w:rsidRPr="00D76DFE" w14:paraId="69B5BD6C" w14:textId="77777777" w:rsidTr="00196C28">
        <w:tc>
          <w:tcPr>
            <w:tcW w:w="3005" w:type="dxa"/>
          </w:tcPr>
          <w:p w14:paraId="7C2CFBDF" w14:textId="77777777" w:rsidR="008B0D90" w:rsidRPr="00D76DFE" w:rsidRDefault="008B0D90" w:rsidP="00196C28">
            <w:r w:rsidRPr="00D76DFE">
              <w:t xml:space="preserve">Monthly On Programme evidence </w:t>
            </w:r>
          </w:p>
        </w:tc>
        <w:tc>
          <w:tcPr>
            <w:tcW w:w="3005" w:type="dxa"/>
          </w:tcPr>
          <w:p w14:paraId="64C783A9" w14:textId="77777777" w:rsidR="008B0D90" w:rsidRPr="00D76DFE" w:rsidRDefault="008B0D90" w:rsidP="00196C28">
            <w:r w:rsidRPr="00D76DFE">
              <w:t>24</w:t>
            </w:r>
            <w:r w:rsidRPr="00D76DFE">
              <w:rPr>
                <w:vertAlign w:val="superscript"/>
              </w:rPr>
              <w:t>th</w:t>
            </w:r>
            <w:r w:rsidRPr="00D76DFE">
              <w:t xml:space="preserve"> of the month </w:t>
            </w:r>
          </w:p>
        </w:tc>
        <w:tc>
          <w:tcPr>
            <w:tcW w:w="3006" w:type="dxa"/>
          </w:tcPr>
          <w:p w14:paraId="5512C8BA" w14:textId="77777777" w:rsidR="008B0D90" w:rsidRPr="00D76DFE" w:rsidRDefault="008B0D90" w:rsidP="00196C28">
            <w:r w:rsidRPr="00D76DFE">
              <w:t xml:space="preserve">Evidence of learning </w:t>
            </w:r>
          </w:p>
          <w:p w14:paraId="4CAB7BB5" w14:textId="77777777" w:rsidR="008B0D90" w:rsidRPr="00D76DFE" w:rsidRDefault="008B0D90" w:rsidP="00196C28">
            <w:r w:rsidRPr="00D76DFE">
              <w:t xml:space="preserve">Portfolio reports </w:t>
            </w:r>
          </w:p>
        </w:tc>
      </w:tr>
      <w:tr w:rsidR="008B0D90" w:rsidRPr="00D76DFE" w14:paraId="5624DB51" w14:textId="77777777" w:rsidTr="00196C28">
        <w:tc>
          <w:tcPr>
            <w:tcW w:w="3005" w:type="dxa"/>
          </w:tcPr>
          <w:p w14:paraId="7C30BCEF" w14:textId="77777777" w:rsidR="008B0D90" w:rsidRPr="00D76DFE" w:rsidRDefault="008B0D90" w:rsidP="00196C28">
            <w:r w:rsidRPr="00D76DFE">
              <w:t xml:space="preserve">Extract of PFR </w:t>
            </w:r>
          </w:p>
        </w:tc>
        <w:tc>
          <w:tcPr>
            <w:tcW w:w="3005" w:type="dxa"/>
          </w:tcPr>
          <w:p w14:paraId="74CD21D2" w14:textId="77777777" w:rsidR="008B0D90" w:rsidRPr="00D76DFE" w:rsidRDefault="008B0D90" w:rsidP="00196C28">
            <w:r w:rsidRPr="00D76DFE">
              <w:t>10</w:t>
            </w:r>
            <w:r w:rsidRPr="00D76DFE">
              <w:rPr>
                <w:vertAlign w:val="superscript"/>
              </w:rPr>
              <w:t>th</w:t>
            </w:r>
            <w:r w:rsidRPr="00D76DFE">
              <w:t xml:space="preserve"> of the month </w:t>
            </w:r>
          </w:p>
        </w:tc>
        <w:tc>
          <w:tcPr>
            <w:tcW w:w="3006" w:type="dxa"/>
          </w:tcPr>
          <w:p w14:paraId="7C975F02" w14:textId="77777777" w:rsidR="008B0D90" w:rsidRPr="00D76DFE" w:rsidRDefault="008B0D90" w:rsidP="00196C28">
            <w:r w:rsidRPr="00D76DFE">
              <w:t xml:space="preserve">Extract of the PFR to be sent to the contractor for validation and to support invoice </w:t>
            </w:r>
          </w:p>
        </w:tc>
      </w:tr>
      <w:tr w:rsidR="008B0D90" w:rsidRPr="00D76DFE" w14:paraId="6B3FCD7C" w14:textId="77777777" w:rsidTr="00196C28">
        <w:tc>
          <w:tcPr>
            <w:tcW w:w="3005" w:type="dxa"/>
          </w:tcPr>
          <w:p w14:paraId="5EFE9B8C" w14:textId="77777777" w:rsidR="008B0D90" w:rsidRPr="00D76DFE" w:rsidRDefault="008B0D90" w:rsidP="00196C28">
            <w:r w:rsidRPr="00D76DFE">
              <w:t xml:space="preserve">Payment </w:t>
            </w:r>
          </w:p>
        </w:tc>
        <w:tc>
          <w:tcPr>
            <w:tcW w:w="3005" w:type="dxa"/>
          </w:tcPr>
          <w:p w14:paraId="68A243FE" w14:textId="77777777" w:rsidR="008B0D90" w:rsidRPr="00D76DFE" w:rsidRDefault="008B0D90" w:rsidP="00196C28">
            <w:r w:rsidRPr="00D76DFE">
              <w:t>By 15</w:t>
            </w:r>
            <w:r w:rsidRPr="00D76DFE">
              <w:rPr>
                <w:vertAlign w:val="superscript"/>
              </w:rPr>
              <w:t>th</w:t>
            </w:r>
            <w:r w:rsidRPr="00D76DFE">
              <w:t xml:space="preserve"> of the month </w:t>
            </w:r>
          </w:p>
        </w:tc>
        <w:tc>
          <w:tcPr>
            <w:tcW w:w="3006" w:type="dxa"/>
          </w:tcPr>
          <w:p w14:paraId="341743F6" w14:textId="77777777" w:rsidR="008B0D90" w:rsidRPr="00D76DFE" w:rsidRDefault="008B0D90" w:rsidP="00196C28">
            <w:r w:rsidRPr="00D76DFE">
              <w:t xml:space="preserve">Invoice </w:t>
            </w:r>
          </w:p>
          <w:p w14:paraId="7B97024A" w14:textId="77777777" w:rsidR="008B0D90" w:rsidRPr="00D76DFE" w:rsidRDefault="008B0D90" w:rsidP="00196C28">
            <w:r w:rsidRPr="00D76DFE">
              <w:t xml:space="preserve">Remittance </w:t>
            </w:r>
          </w:p>
        </w:tc>
      </w:tr>
    </w:tbl>
    <w:p w14:paraId="564033EE" w14:textId="77777777" w:rsidR="008B0D90" w:rsidRPr="00EA130F" w:rsidRDefault="008B0D90">
      <w:pPr>
        <w:ind w:left="10" w:right="301"/>
        <w:rPr>
          <w:b/>
          <w:bCs/>
        </w:rPr>
      </w:pPr>
    </w:p>
    <w:sectPr w:rsidR="008B0D90" w:rsidRPr="00EA130F">
      <w:footerReference w:type="even" r:id="rId11"/>
      <w:footerReference w:type="default" r:id="rId12"/>
      <w:footerReference w:type="first" r:id="rId13"/>
      <w:pgSz w:w="11906" w:h="16838"/>
      <w:pgMar w:top="1483" w:right="1127" w:bottom="1825" w:left="1426" w:header="72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B9AC6" w14:textId="77777777" w:rsidR="006B3409" w:rsidRDefault="006B3409">
      <w:pPr>
        <w:spacing w:after="0" w:line="240" w:lineRule="auto"/>
      </w:pPr>
      <w:r>
        <w:separator/>
      </w:r>
    </w:p>
  </w:endnote>
  <w:endnote w:type="continuationSeparator" w:id="0">
    <w:p w14:paraId="343E2238" w14:textId="77777777" w:rsidR="006B3409" w:rsidRDefault="006B3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BF835" w14:textId="77777777" w:rsidR="00CC54FD" w:rsidRDefault="00752B4C">
    <w:pPr>
      <w:spacing w:after="0" w:line="259" w:lineRule="auto"/>
      <w:ind w:left="0" w:right="294" w:firstLine="0"/>
      <w:jc w:val="center"/>
    </w:pPr>
    <w:r>
      <w:rPr>
        <w:sz w:val="16"/>
      </w:rPr>
      <w:t xml:space="preserve">Page </w:t>
    </w:r>
    <w:r>
      <w:rPr>
        <w:b/>
        <w:sz w:val="16"/>
      </w:rPr>
      <w:fldChar w:fldCharType="begin"/>
    </w:r>
    <w:r>
      <w:rPr>
        <w:b/>
        <w:sz w:val="16"/>
      </w:rPr>
      <w:instrText xml:space="preserve"> PAGE   \* MERGEFORMAT </w:instrText>
    </w:r>
    <w:r>
      <w:rPr>
        <w:b/>
        <w:sz w:val="16"/>
      </w:rPr>
      <w:fldChar w:fldCharType="separate"/>
    </w:r>
    <w:r>
      <w:rPr>
        <w:b/>
        <w:sz w:val="16"/>
      </w:rPr>
      <w:t>1</w:t>
    </w:r>
    <w:r>
      <w:rPr>
        <w:b/>
        <w:sz w:val="16"/>
      </w:rPr>
      <w:fldChar w:fldCharType="end"/>
    </w:r>
    <w:r>
      <w:rPr>
        <w:sz w:val="16"/>
      </w:rPr>
      <w:t xml:space="preserve"> of </w:t>
    </w:r>
    <w:r>
      <w:rPr>
        <w:b/>
        <w:sz w:val="16"/>
      </w:rPr>
      <w:fldChar w:fldCharType="begin"/>
    </w:r>
    <w:r>
      <w:rPr>
        <w:b/>
        <w:sz w:val="16"/>
      </w:rPr>
      <w:instrText xml:space="preserve"> NUMPAGES   \* MERGEFORMAT </w:instrText>
    </w:r>
    <w:r>
      <w:rPr>
        <w:b/>
        <w:sz w:val="16"/>
      </w:rPr>
      <w:fldChar w:fldCharType="separate"/>
    </w:r>
    <w:r>
      <w:rPr>
        <w:b/>
        <w:sz w:val="16"/>
      </w:rPr>
      <w:t>6</w:t>
    </w:r>
    <w:r>
      <w:rPr>
        <w:b/>
        <w:sz w:val="16"/>
      </w:rPr>
      <w:fldChar w:fldCharType="end"/>
    </w:r>
    <w:r>
      <w:rPr>
        <w:b/>
        <w:sz w:val="16"/>
      </w:rPr>
      <w:t xml:space="preserve"> </w:t>
    </w:r>
    <w:r>
      <w:t xml:space="preserve"> </w:t>
    </w:r>
  </w:p>
  <w:p w14:paraId="22FDEB90" w14:textId="77777777" w:rsidR="00CC54FD" w:rsidRDefault="00752B4C">
    <w:pPr>
      <w:spacing w:after="1" w:line="259" w:lineRule="auto"/>
      <w:ind w:left="0" w:right="306" w:firstLine="0"/>
      <w:jc w:val="right"/>
    </w:pPr>
    <w:r>
      <w:rPr>
        <w:b/>
        <w:sz w:val="16"/>
      </w:rPr>
      <w:t xml:space="preserve">Subcontracting Fees and Charges Policy 2018-19 </w:t>
    </w:r>
    <w:r>
      <w:t xml:space="preserve"> </w:t>
    </w:r>
  </w:p>
  <w:p w14:paraId="0242B2C8" w14:textId="77777777" w:rsidR="00CC54FD" w:rsidRDefault="00752B4C">
    <w:pPr>
      <w:spacing w:after="0" w:line="259" w:lineRule="auto"/>
      <w:ind w:left="0" w:right="306" w:firstLine="0"/>
      <w:jc w:val="right"/>
    </w:pPr>
    <w:r>
      <w:rPr>
        <w:b/>
        <w:sz w:val="16"/>
      </w:rPr>
      <w:t>Version 3</w:t>
    </w:r>
    <w:r>
      <w:t xml:space="preserve">  </w:t>
    </w:r>
  </w:p>
  <w:p w14:paraId="53D1505D" w14:textId="77777777" w:rsidR="00CC54FD" w:rsidRDefault="00752B4C">
    <w:pPr>
      <w:spacing w:after="0" w:line="259" w:lineRule="auto"/>
      <w:ind w:left="14"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884FD" w14:textId="77777777" w:rsidR="00CC54FD" w:rsidRDefault="00752B4C">
    <w:pPr>
      <w:spacing w:after="0" w:line="259" w:lineRule="auto"/>
      <w:ind w:left="0" w:right="294" w:firstLine="0"/>
      <w:jc w:val="center"/>
    </w:pPr>
    <w:r>
      <w:rPr>
        <w:sz w:val="16"/>
      </w:rPr>
      <w:t xml:space="preserve">Page </w:t>
    </w:r>
    <w:r>
      <w:rPr>
        <w:b/>
        <w:sz w:val="16"/>
      </w:rPr>
      <w:fldChar w:fldCharType="begin"/>
    </w:r>
    <w:r>
      <w:rPr>
        <w:b/>
        <w:sz w:val="16"/>
      </w:rPr>
      <w:instrText xml:space="preserve"> PAGE   \* MERGEFORMAT </w:instrText>
    </w:r>
    <w:r>
      <w:rPr>
        <w:b/>
        <w:sz w:val="16"/>
      </w:rPr>
      <w:fldChar w:fldCharType="separate"/>
    </w:r>
    <w:r w:rsidR="00367E27">
      <w:rPr>
        <w:b/>
        <w:noProof/>
        <w:sz w:val="16"/>
      </w:rPr>
      <w:t>2</w:t>
    </w:r>
    <w:r>
      <w:rPr>
        <w:b/>
        <w:sz w:val="16"/>
      </w:rPr>
      <w:fldChar w:fldCharType="end"/>
    </w:r>
    <w:r>
      <w:rPr>
        <w:sz w:val="16"/>
      </w:rPr>
      <w:t xml:space="preserve"> of </w:t>
    </w:r>
    <w:r>
      <w:rPr>
        <w:b/>
        <w:sz w:val="16"/>
      </w:rPr>
      <w:fldChar w:fldCharType="begin"/>
    </w:r>
    <w:r>
      <w:rPr>
        <w:b/>
        <w:sz w:val="16"/>
      </w:rPr>
      <w:instrText xml:space="preserve"> NUMPAGES   \* MERGEFORMAT </w:instrText>
    </w:r>
    <w:r>
      <w:rPr>
        <w:b/>
        <w:sz w:val="16"/>
      </w:rPr>
      <w:fldChar w:fldCharType="separate"/>
    </w:r>
    <w:r w:rsidR="00367E27">
      <w:rPr>
        <w:b/>
        <w:noProof/>
        <w:sz w:val="16"/>
      </w:rPr>
      <w:t>6</w:t>
    </w:r>
    <w:r>
      <w:rPr>
        <w:b/>
        <w:sz w:val="16"/>
      </w:rPr>
      <w:fldChar w:fldCharType="end"/>
    </w:r>
    <w:r>
      <w:rPr>
        <w:b/>
        <w:sz w:val="16"/>
      </w:rPr>
      <w:t xml:space="preserve"> </w:t>
    </w:r>
    <w:r>
      <w:t xml:space="preserve"> </w:t>
    </w:r>
  </w:p>
  <w:p w14:paraId="2012D2F3" w14:textId="4A63B89A" w:rsidR="00CC54FD" w:rsidRDefault="00752B4C">
    <w:pPr>
      <w:spacing w:after="1" w:line="259" w:lineRule="auto"/>
      <w:ind w:left="0" w:right="306" w:firstLine="0"/>
      <w:jc w:val="right"/>
    </w:pPr>
    <w:r>
      <w:rPr>
        <w:b/>
        <w:sz w:val="16"/>
      </w:rPr>
      <w:t>Subcontracti</w:t>
    </w:r>
    <w:r w:rsidR="00AA3956">
      <w:rPr>
        <w:b/>
        <w:sz w:val="16"/>
      </w:rPr>
      <w:t xml:space="preserve">ng </w:t>
    </w:r>
    <w:r w:rsidR="00B6337B">
      <w:rPr>
        <w:b/>
        <w:sz w:val="16"/>
      </w:rPr>
      <w:t>Management</w:t>
    </w:r>
    <w:r w:rsidR="00AA3956">
      <w:rPr>
        <w:b/>
        <w:sz w:val="16"/>
      </w:rPr>
      <w:t xml:space="preserve"> Policy</w:t>
    </w:r>
    <w:r w:rsidR="00476544">
      <w:rPr>
        <w:b/>
        <w:sz w:val="16"/>
      </w:rPr>
      <w:t xml:space="preserve"> 2023-24</w:t>
    </w:r>
    <w:r w:rsidR="00AA3956">
      <w:rPr>
        <w:b/>
        <w:sz w:val="16"/>
      </w:rPr>
      <w:t>,</w:t>
    </w:r>
    <w:r>
      <w:rPr>
        <w:b/>
        <w:sz w:val="16"/>
      </w:rPr>
      <w:t xml:space="preserve"> </w:t>
    </w:r>
    <w:r>
      <w:t xml:space="preserve"> </w:t>
    </w:r>
  </w:p>
  <w:p w14:paraId="0D3383A1" w14:textId="77777777" w:rsidR="00CC54FD" w:rsidRDefault="00EE2FAD">
    <w:pPr>
      <w:spacing w:after="0" w:line="259" w:lineRule="auto"/>
      <w:ind w:left="0" w:right="306" w:firstLine="0"/>
      <w:jc w:val="right"/>
    </w:pPr>
    <w:r>
      <w:rPr>
        <w:b/>
        <w:sz w:val="16"/>
      </w:rPr>
      <w:t>Version 1</w:t>
    </w:r>
    <w:r w:rsidR="00752B4C">
      <w:t xml:space="preserve">  </w:t>
    </w:r>
  </w:p>
  <w:p w14:paraId="0C4D78AE" w14:textId="77777777" w:rsidR="00CC54FD" w:rsidRDefault="00752B4C">
    <w:pPr>
      <w:spacing w:after="0" w:line="259" w:lineRule="auto"/>
      <w:ind w:left="14"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495CD" w14:textId="77777777" w:rsidR="00CC54FD" w:rsidRDefault="00752B4C">
    <w:pPr>
      <w:spacing w:after="0" w:line="259" w:lineRule="auto"/>
      <w:ind w:left="0" w:right="294" w:firstLine="0"/>
      <w:jc w:val="center"/>
    </w:pPr>
    <w:r>
      <w:rPr>
        <w:sz w:val="16"/>
      </w:rPr>
      <w:t xml:space="preserve">Page </w:t>
    </w:r>
    <w:r>
      <w:rPr>
        <w:b/>
        <w:sz w:val="16"/>
      </w:rPr>
      <w:fldChar w:fldCharType="begin"/>
    </w:r>
    <w:r>
      <w:rPr>
        <w:b/>
        <w:sz w:val="16"/>
      </w:rPr>
      <w:instrText xml:space="preserve"> PAGE   \* MERGEFORMAT </w:instrText>
    </w:r>
    <w:r>
      <w:rPr>
        <w:b/>
        <w:sz w:val="16"/>
      </w:rPr>
      <w:fldChar w:fldCharType="separate"/>
    </w:r>
    <w:r>
      <w:rPr>
        <w:b/>
        <w:sz w:val="16"/>
      </w:rPr>
      <w:t>1</w:t>
    </w:r>
    <w:r>
      <w:rPr>
        <w:b/>
        <w:sz w:val="16"/>
      </w:rPr>
      <w:fldChar w:fldCharType="end"/>
    </w:r>
    <w:r>
      <w:rPr>
        <w:sz w:val="16"/>
      </w:rPr>
      <w:t xml:space="preserve"> of </w:t>
    </w:r>
    <w:r>
      <w:rPr>
        <w:b/>
        <w:sz w:val="16"/>
      </w:rPr>
      <w:fldChar w:fldCharType="begin"/>
    </w:r>
    <w:r>
      <w:rPr>
        <w:b/>
        <w:sz w:val="16"/>
      </w:rPr>
      <w:instrText xml:space="preserve"> NUMPAGES   \* MERGEFORMAT </w:instrText>
    </w:r>
    <w:r>
      <w:rPr>
        <w:b/>
        <w:sz w:val="16"/>
      </w:rPr>
      <w:fldChar w:fldCharType="separate"/>
    </w:r>
    <w:r>
      <w:rPr>
        <w:b/>
        <w:sz w:val="16"/>
      </w:rPr>
      <w:t>6</w:t>
    </w:r>
    <w:r>
      <w:rPr>
        <w:b/>
        <w:sz w:val="16"/>
      </w:rPr>
      <w:fldChar w:fldCharType="end"/>
    </w:r>
    <w:r>
      <w:rPr>
        <w:b/>
        <w:sz w:val="16"/>
      </w:rPr>
      <w:t xml:space="preserve"> </w:t>
    </w:r>
    <w:r>
      <w:t xml:space="preserve"> </w:t>
    </w:r>
  </w:p>
  <w:p w14:paraId="28639F88" w14:textId="77777777" w:rsidR="00CC54FD" w:rsidRDefault="00752B4C">
    <w:pPr>
      <w:spacing w:after="1" w:line="259" w:lineRule="auto"/>
      <w:ind w:left="0" w:right="306" w:firstLine="0"/>
      <w:jc w:val="right"/>
    </w:pPr>
    <w:r>
      <w:rPr>
        <w:b/>
        <w:sz w:val="16"/>
      </w:rPr>
      <w:t xml:space="preserve">Subcontracting Fees and Charges Policy 2018-19 </w:t>
    </w:r>
    <w:r>
      <w:t xml:space="preserve"> </w:t>
    </w:r>
  </w:p>
  <w:p w14:paraId="10EBF7E1" w14:textId="77777777" w:rsidR="00CC54FD" w:rsidRDefault="00752B4C">
    <w:pPr>
      <w:spacing w:after="0" w:line="259" w:lineRule="auto"/>
      <w:ind w:left="0" w:right="306" w:firstLine="0"/>
      <w:jc w:val="right"/>
    </w:pPr>
    <w:r>
      <w:rPr>
        <w:b/>
        <w:sz w:val="16"/>
      </w:rPr>
      <w:t>Version 3</w:t>
    </w:r>
    <w:r>
      <w:t xml:space="preserve">  </w:t>
    </w:r>
  </w:p>
  <w:p w14:paraId="4791338D" w14:textId="77777777" w:rsidR="00CC54FD" w:rsidRDefault="00752B4C">
    <w:pPr>
      <w:spacing w:after="0" w:line="259" w:lineRule="auto"/>
      <w:ind w:left="14"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E7C45" w14:textId="77777777" w:rsidR="006B3409" w:rsidRDefault="006B3409">
      <w:pPr>
        <w:spacing w:after="0" w:line="240" w:lineRule="auto"/>
      </w:pPr>
      <w:r>
        <w:separator/>
      </w:r>
    </w:p>
  </w:footnote>
  <w:footnote w:type="continuationSeparator" w:id="0">
    <w:p w14:paraId="5F723DF2" w14:textId="77777777" w:rsidR="006B3409" w:rsidRDefault="006B3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93FEA"/>
    <w:multiLevelType w:val="hybridMultilevel"/>
    <w:tmpl w:val="4FCCB428"/>
    <w:lvl w:ilvl="0" w:tplc="DA0816A8">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C87F76">
      <w:start w:val="1"/>
      <w:numFmt w:val="bullet"/>
      <w:lvlText w:val=""/>
      <w:lvlJc w:val="left"/>
      <w:pPr>
        <w:ind w:left="18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512110C">
      <w:start w:val="1"/>
      <w:numFmt w:val="bullet"/>
      <w:lvlText w:val="▪"/>
      <w:lvlJc w:val="left"/>
      <w:pPr>
        <w:ind w:left="25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ED0129A">
      <w:start w:val="1"/>
      <w:numFmt w:val="bullet"/>
      <w:lvlText w:val="•"/>
      <w:lvlJc w:val="left"/>
      <w:pPr>
        <w:ind w:left="32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F64A09C">
      <w:start w:val="1"/>
      <w:numFmt w:val="bullet"/>
      <w:lvlText w:val="o"/>
      <w:lvlJc w:val="left"/>
      <w:pPr>
        <w:ind w:left="39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4A4ED82">
      <w:start w:val="1"/>
      <w:numFmt w:val="bullet"/>
      <w:lvlText w:val="▪"/>
      <w:lvlJc w:val="left"/>
      <w:pPr>
        <w:ind w:left="46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D36E158">
      <w:start w:val="1"/>
      <w:numFmt w:val="bullet"/>
      <w:lvlText w:val="•"/>
      <w:lvlJc w:val="left"/>
      <w:pPr>
        <w:ind w:left="54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604A678">
      <w:start w:val="1"/>
      <w:numFmt w:val="bullet"/>
      <w:lvlText w:val="o"/>
      <w:lvlJc w:val="left"/>
      <w:pPr>
        <w:ind w:left="61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31A44E4">
      <w:start w:val="1"/>
      <w:numFmt w:val="bullet"/>
      <w:lvlText w:val="▪"/>
      <w:lvlJc w:val="left"/>
      <w:pPr>
        <w:ind w:left="68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B32EEF"/>
    <w:multiLevelType w:val="hybridMultilevel"/>
    <w:tmpl w:val="9B88233A"/>
    <w:lvl w:ilvl="0" w:tplc="F1AC0068">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CC73EE">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46B606">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D24BCA">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EEAA4">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BC7122">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FE50E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9CB956">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10EDD6">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2958BB"/>
    <w:multiLevelType w:val="hybridMultilevel"/>
    <w:tmpl w:val="AE9ADE34"/>
    <w:lvl w:ilvl="0" w:tplc="28C0B3AA">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52527E">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B0FD10">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92079E">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5451F4">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94D468">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2CD69C">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98DB36">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B0D90C">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3BC678C"/>
    <w:multiLevelType w:val="hybridMultilevel"/>
    <w:tmpl w:val="4B72CE54"/>
    <w:lvl w:ilvl="0" w:tplc="EA263F64">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C410E0">
      <w:start w:val="1"/>
      <w:numFmt w:val="bullet"/>
      <w:lvlText w:val="o"/>
      <w:lvlJc w:val="left"/>
      <w:pPr>
        <w:ind w:left="14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F64D1AA">
      <w:start w:val="1"/>
      <w:numFmt w:val="bullet"/>
      <w:lvlText w:val="▪"/>
      <w:lvlJc w:val="left"/>
      <w:pPr>
        <w:ind w:left="21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800E64E">
      <w:start w:val="1"/>
      <w:numFmt w:val="bullet"/>
      <w:lvlText w:val="•"/>
      <w:lvlJc w:val="left"/>
      <w:pPr>
        <w:ind w:left="28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C5456C2">
      <w:start w:val="1"/>
      <w:numFmt w:val="bullet"/>
      <w:lvlText w:val="o"/>
      <w:lvlJc w:val="left"/>
      <w:pPr>
        <w:ind w:left="361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B5E7BF2">
      <w:start w:val="1"/>
      <w:numFmt w:val="bullet"/>
      <w:lvlText w:val="▪"/>
      <w:lvlJc w:val="left"/>
      <w:pPr>
        <w:ind w:left="433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12E884E">
      <w:start w:val="1"/>
      <w:numFmt w:val="bullet"/>
      <w:lvlText w:val="•"/>
      <w:lvlJc w:val="left"/>
      <w:pPr>
        <w:ind w:left="50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BC41500">
      <w:start w:val="1"/>
      <w:numFmt w:val="bullet"/>
      <w:lvlText w:val="o"/>
      <w:lvlJc w:val="left"/>
      <w:pPr>
        <w:ind w:left="577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FD8C0BA">
      <w:start w:val="1"/>
      <w:numFmt w:val="bullet"/>
      <w:lvlText w:val="▪"/>
      <w:lvlJc w:val="left"/>
      <w:pPr>
        <w:ind w:left="649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D7F6166"/>
    <w:multiLevelType w:val="hybridMultilevel"/>
    <w:tmpl w:val="FB9C5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096782">
    <w:abstractNumId w:val="2"/>
  </w:num>
  <w:num w:numId="2" w16cid:durableId="1832595694">
    <w:abstractNumId w:val="0"/>
  </w:num>
  <w:num w:numId="3" w16cid:durableId="232550598">
    <w:abstractNumId w:val="1"/>
  </w:num>
  <w:num w:numId="4" w16cid:durableId="114836392">
    <w:abstractNumId w:val="3"/>
  </w:num>
  <w:num w:numId="5" w16cid:durableId="7280705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4FD"/>
    <w:rsid w:val="00021C60"/>
    <w:rsid w:val="0006055B"/>
    <w:rsid w:val="000730F4"/>
    <w:rsid w:val="000742DD"/>
    <w:rsid w:val="000E383A"/>
    <w:rsid w:val="000F0041"/>
    <w:rsid w:val="0015203F"/>
    <w:rsid w:val="001A1593"/>
    <w:rsid w:val="0020609B"/>
    <w:rsid w:val="002305EE"/>
    <w:rsid w:val="002417D9"/>
    <w:rsid w:val="0027700C"/>
    <w:rsid w:val="0027724A"/>
    <w:rsid w:val="002A2EA7"/>
    <w:rsid w:val="0033704E"/>
    <w:rsid w:val="00352BE1"/>
    <w:rsid w:val="00354E8B"/>
    <w:rsid w:val="003644E0"/>
    <w:rsid w:val="00367E27"/>
    <w:rsid w:val="003726C6"/>
    <w:rsid w:val="003772FC"/>
    <w:rsid w:val="003F7C87"/>
    <w:rsid w:val="00403662"/>
    <w:rsid w:val="00412D14"/>
    <w:rsid w:val="00471313"/>
    <w:rsid w:val="00476544"/>
    <w:rsid w:val="004C2AA9"/>
    <w:rsid w:val="004D0464"/>
    <w:rsid w:val="005260EB"/>
    <w:rsid w:val="00547CFB"/>
    <w:rsid w:val="005926FD"/>
    <w:rsid w:val="005A2D20"/>
    <w:rsid w:val="005B6A73"/>
    <w:rsid w:val="005E6452"/>
    <w:rsid w:val="005F06F4"/>
    <w:rsid w:val="005F380A"/>
    <w:rsid w:val="00610C28"/>
    <w:rsid w:val="00644FDE"/>
    <w:rsid w:val="006B3409"/>
    <w:rsid w:val="006B7BDF"/>
    <w:rsid w:val="006E4211"/>
    <w:rsid w:val="006F5596"/>
    <w:rsid w:val="00742ECC"/>
    <w:rsid w:val="00752B4C"/>
    <w:rsid w:val="0075589B"/>
    <w:rsid w:val="00762748"/>
    <w:rsid w:val="00773846"/>
    <w:rsid w:val="00776964"/>
    <w:rsid w:val="007F1613"/>
    <w:rsid w:val="00805627"/>
    <w:rsid w:val="00853C15"/>
    <w:rsid w:val="0089507B"/>
    <w:rsid w:val="008A21C6"/>
    <w:rsid w:val="008B0D90"/>
    <w:rsid w:val="00902B2C"/>
    <w:rsid w:val="00906B0C"/>
    <w:rsid w:val="00954415"/>
    <w:rsid w:val="00981490"/>
    <w:rsid w:val="00985146"/>
    <w:rsid w:val="009B1E3C"/>
    <w:rsid w:val="009B5D2D"/>
    <w:rsid w:val="009E258C"/>
    <w:rsid w:val="00A17973"/>
    <w:rsid w:val="00A22E85"/>
    <w:rsid w:val="00A24BBE"/>
    <w:rsid w:val="00A64602"/>
    <w:rsid w:val="00A94C6F"/>
    <w:rsid w:val="00AA3956"/>
    <w:rsid w:val="00B01913"/>
    <w:rsid w:val="00B31522"/>
    <w:rsid w:val="00B339DA"/>
    <w:rsid w:val="00B41C9B"/>
    <w:rsid w:val="00B553EC"/>
    <w:rsid w:val="00B6337B"/>
    <w:rsid w:val="00B72574"/>
    <w:rsid w:val="00BA2083"/>
    <w:rsid w:val="00BE7AAA"/>
    <w:rsid w:val="00C0316F"/>
    <w:rsid w:val="00C72FEA"/>
    <w:rsid w:val="00CC54FD"/>
    <w:rsid w:val="00CC6550"/>
    <w:rsid w:val="00CD2AC4"/>
    <w:rsid w:val="00CF027F"/>
    <w:rsid w:val="00D12312"/>
    <w:rsid w:val="00D23E11"/>
    <w:rsid w:val="00D67CDA"/>
    <w:rsid w:val="00D76DFE"/>
    <w:rsid w:val="00D77E98"/>
    <w:rsid w:val="00D87F78"/>
    <w:rsid w:val="00DF6E30"/>
    <w:rsid w:val="00E11F38"/>
    <w:rsid w:val="00E16A4F"/>
    <w:rsid w:val="00E223B8"/>
    <w:rsid w:val="00E22CE4"/>
    <w:rsid w:val="00E32B9E"/>
    <w:rsid w:val="00E7124A"/>
    <w:rsid w:val="00EA130F"/>
    <w:rsid w:val="00EA43A3"/>
    <w:rsid w:val="00EC7759"/>
    <w:rsid w:val="00EE2E46"/>
    <w:rsid w:val="00EE2FAD"/>
    <w:rsid w:val="00F02692"/>
    <w:rsid w:val="00F05881"/>
    <w:rsid w:val="00F420C4"/>
    <w:rsid w:val="00F62C12"/>
    <w:rsid w:val="00F66F9F"/>
    <w:rsid w:val="00F70726"/>
    <w:rsid w:val="00FB02EE"/>
    <w:rsid w:val="00FC3AEA"/>
    <w:rsid w:val="00FD4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626F"/>
  <w15:docId w15:val="{57B316F6-7E4D-4F9D-958F-68EB2C6D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4" w:line="252" w:lineRule="auto"/>
      <w:ind w:left="24" w:right="21"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9"/>
      <w:ind w:left="2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A39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956"/>
    <w:rPr>
      <w:rFonts w:ascii="Calibri" w:eastAsia="Calibri" w:hAnsi="Calibri" w:cs="Calibri"/>
      <w:color w:val="000000"/>
    </w:rPr>
  </w:style>
  <w:style w:type="character" w:styleId="CommentReference">
    <w:name w:val="annotation reference"/>
    <w:basedOn w:val="DefaultParagraphFont"/>
    <w:uiPriority w:val="99"/>
    <w:semiHidden/>
    <w:unhideWhenUsed/>
    <w:rsid w:val="00776964"/>
    <w:rPr>
      <w:sz w:val="16"/>
      <w:szCs w:val="16"/>
    </w:rPr>
  </w:style>
  <w:style w:type="paragraph" w:styleId="CommentText">
    <w:name w:val="annotation text"/>
    <w:basedOn w:val="Normal"/>
    <w:link w:val="CommentTextChar"/>
    <w:uiPriority w:val="99"/>
    <w:unhideWhenUsed/>
    <w:rsid w:val="00776964"/>
    <w:pPr>
      <w:spacing w:line="240" w:lineRule="auto"/>
    </w:pPr>
    <w:rPr>
      <w:sz w:val="20"/>
      <w:szCs w:val="20"/>
    </w:rPr>
  </w:style>
  <w:style w:type="character" w:customStyle="1" w:styleId="CommentTextChar">
    <w:name w:val="Comment Text Char"/>
    <w:basedOn w:val="DefaultParagraphFont"/>
    <w:link w:val="CommentText"/>
    <w:uiPriority w:val="99"/>
    <w:rsid w:val="00776964"/>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76964"/>
    <w:rPr>
      <w:b/>
      <w:bCs/>
    </w:rPr>
  </w:style>
  <w:style w:type="character" w:customStyle="1" w:styleId="CommentSubjectChar">
    <w:name w:val="Comment Subject Char"/>
    <w:basedOn w:val="CommentTextChar"/>
    <w:link w:val="CommentSubject"/>
    <w:uiPriority w:val="99"/>
    <w:semiHidden/>
    <w:rsid w:val="00776964"/>
    <w:rPr>
      <w:rFonts w:ascii="Calibri" w:eastAsia="Calibri" w:hAnsi="Calibri" w:cs="Calibri"/>
      <w:b/>
      <w:bCs/>
      <w:color w:val="000000"/>
      <w:sz w:val="20"/>
      <w:szCs w:val="20"/>
    </w:rPr>
  </w:style>
  <w:style w:type="paragraph" w:styleId="Revision">
    <w:name w:val="Revision"/>
    <w:hidden/>
    <w:uiPriority w:val="99"/>
    <w:semiHidden/>
    <w:rsid w:val="00906B0C"/>
    <w:pPr>
      <w:spacing w:after="0" w:line="240" w:lineRule="auto"/>
    </w:pPr>
    <w:rPr>
      <w:rFonts w:ascii="Calibri" w:eastAsia="Calibri" w:hAnsi="Calibri" w:cs="Calibri"/>
      <w:color w:val="000000"/>
    </w:rPr>
  </w:style>
  <w:style w:type="paragraph" w:styleId="ListParagraph">
    <w:name w:val="List Paragraph"/>
    <w:basedOn w:val="Normal"/>
    <w:uiPriority w:val="34"/>
    <w:qFormat/>
    <w:rsid w:val="008B0D90"/>
    <w:pPr>
      <w:spacing w:after="160" w:line="259" w:lineRule="auto"/>
      <w:ind w:left="720" w:right="0" w:firstLine="0"/>
      <w:contextualSpacing/>
    </w:pPr>
    <w:rPr>
      <w:rFonts w:asciiTheme="minorHAnsi" w:eastAsiaTheme="minorHAnsi" w:hAnsiTheme="minorHAnsi" w:cstheme="minorBidi"/>
      <w:color w:val="auto"/>
      <w:lang w:eastAsia="en-US"/>
    </w:rPr>
  </w:style>
  <w:style w:type="table" w:styleId="TableGrid0">
    <w:name w:val="Table Grid"/>
    <w:basedOn w:val="TableNormal"/>
    <w:uiPriority w:val="39"/>
    <w:rsid w:val="008B0D9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2B9E"/>
    <w:rPr>
      <w:color w:val="0563C1" w:themeColor="hyperlink"/>
      <w:u w:val="single"/>
    </w:rPr>
  </w:style>
  <w:style w:type="character" w:styleId="UnresolvedMention">
    <w:name w:val="Unresolved Mention"/>
    <w:basedOn w:val="DefaultParagraphFont"/>
    <w:uiPriority w:val="99"/>
    <w:semiHidden/>
    <w:unhideWhenUsed/>
    <w:rsid w:val="00E32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e-futures-group.com/" TargetMode="External"/><Relationship Id="rId4" Type="http://schemas.openxmlformats.org/officeDocument/2006/relationships/settings" Target="settings.xml"/><Relationship Id="rId9" Type="http://schemas.openxmlformats.org/officeDocument/2006/relationships/hyperlink" Target="https://www.futuresadvic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981E9-6421-4D8A-8648-FAA282ED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1865</Words>
  <Characters>10637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Green</dc:creator>
  <cp:keywords/>
  <cp:lastModifiedBy>Pete McCreery</cp:lastModifiedBy>
  <cp:revision>3</cp:revision>
  <dcterms:created xsi:type="dcterms:W3CDTF">2024-11-19T17:24:00Z</dcterms:created>
  <dcterms:modified xsi:type="dcterms:W3CDTF">2024-11-19T17:27:00Z</dcterms:modified>
</cp:coreProperties>
</file>